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5050" w:type="pct"/>
        <w:tblInd w:w="0" w:type="dxa"/>
        <w:tblLook w:val="04A0" w:firstRow="1" w:lastRow="0" w:firstColumn="1" w:lastColumn="0" w:noHBand="0" w:noVBand="1"/>
      </w:tblPr>
      <w:tblGrid>
        <w:gridCol w:w="2900"/>
        <w:gridCol w:w="1312"/>
        <w:gridCol w:w="1128"/>
        <w:gridCol w:w="1347"/>
        <w:gridCol w:w="3807"/>
        <w:gridCol w:w="1676"/>
        <w:gridCol w:w="2250"/>
      </w:tblGrid>
      <w:tr w:rsidR="00686AF2" w14:paraId="5601C9E8" w14:textId="77777777" w:rsidTr="00686AF2">
        <w:tc>
          <w:tcPr>
            <w:tcW w:w="1006" w:type="pct"/>
            <w:tcBorders>
              <w:top w:val="single" w:sz="4" w:space="0" w:color="auto"/>
              <w:left w:val="single" w:sz="4" w:space="0" w:color="auto"/>
              <w:bottom w:val="single" w:sz="4" w:space="0" w:color="auto"/>
              <w:right w:val="single" w:sz="4" w:space="0" w:color="auto"/>
            </w:tcBorders>
            <w:hideMark/>
          </w:tcPr>
          <w:p w14:paraId="0F99A73F" w14:textId="77777777" w:rsidR="00686AF2" w:rsidRDefault="00686AF2">
            <w:pPr>
              <w:spacing w:line="240" w:lineRule="auto"/>
              <w:ind w:left="113"/>
              <w:jc w:val="both"/>
              <w:rPr>
                <w:rFonts w:ascii="Garamond" w:hAnsi="Garamond" w:cs="TimesNewRoman"/>
                <w:iCs/>
                <w:sz w:val="24"/>
                <w:szCs w:val="24"/>
                <w:lang w:val="en-US" w:eastAsia="it-IT"/>
              </w:rPr>
            </w:pPr>
            <w:r>
              <w:rPr>
                <w:rFonts w:ascii="Garamond" w:hAnsi="Garamond" w:cs="TimesNewRoman"/>
                <w:b/>
                <w:bCs/>
                <w:iCs/>
                <w:sz w:val="24"/>
                <w:szCs w:val="24"/>
                <w:lang w:val="en-US" w:eastAsia="it-IT"/>
              </w:rPr>
              <w:t>Seminars</w:t>
            </w:r>
          </w:p>
        </w:tc>
        <w:tc>
          <w:tcPr>
            <w:tcW w:w="455" w:type="pct"/>
            <w:tcBorders>
              <w:top w:val="single" w:sz="4" w:space="0" w:color="auto"/>
              <w:left w:val="single" w:sz="4" w:space="0" w:color="auto"/>
              <w:bottom w:val="single" w:sz="4" w:space="0" w:color="auto"/>
              <w:right w:val="single" w:sz="4" w:space="0" w:color="auto"/>
            </w:tcBorders>
          </w:tcPr>
          <w:p w14:paraId="14B1E76B" w14:textId="77777777" w:rsidR="00686AF2" w:rsidRDefault="00686AF2">
            <w:pPr>
              <w:spacing w:line="240" w:lineRule="auto"/>
              <w:ind w:left="113"/>
              <w:jc w:val="both"/>
              <w:rPr>
                <w:rFonts w:ascii="Garamond" w:hAnsi="Garamond" w:cs="TimesNewRoman"/>
                <w:iCs/>
                <w:sz w:val="24"/>
                <w:szCs w:val="24"/>
                <w:lang w:val="en-US" w:eastAsia="it-IT"/>
              </w:rPr>
            </w:pPr>
          </w:p>
        </w:tc>
        <w:tc>
          <w:tcPr>
            <w:tcW w:w="391" w:type="pct"/>
            <w:tcBorders>
              <w:top w:val="single" w:sz="4" w:space="0" w:color="auto"/>
              <w:left w:val="single" w:sz="4" w:space="0" w:color="auto"/>
              <w:bottom w:val="single" w:sz="4" w:space="0" w:color="auto"/>
              <w:right w:val="single" w:sz="4" w:space="0" w:color="auto"/>
            </w:tcBorders>
          </w:tcPr>
          <w:p w14:paraId="0807AAF2" w14:textId="77777777" w:rsidR="00686AF2" w:rsidRDefault="00686AF2">
            <w:pPr>
              <w:spacing w:line="240" w:lineRule="auto"/>
              <w:ind w:left="113"/>
              <w:jc w:val="both"/>
              <w:rPr>
                <w:rFonts w:ascii="Garamond" w:hAnsi="Garamond" w:cs="TimesNewRoman"/>
                <w:iCs/>
                <w:sz w:val="24"/>
                <w:szCs w:val="24"/>
                <w:lang w:val="en-US" w:eastAsia="it-IT"/>
              </w:rPr>
            </w:pPr>
          </w:p>
        </w:tc>
        <w:tc>
          <w:tcPr>
            <w:tcW w:w="467" w:type="pct"/>
            <w:tcBorders>
              <w:top w:val="single" w:sz="4" w:space="0" w:color="auto"/>
              <w:left w:val="single" w:sz="4" w:space="0" w:color="auto"/>
              <w:bottom w:val="single" w:sz="4" w:space="0" w:color="auto"/>
              <w:right w:val="single" w:sz="4" w:space="0" w:color="auto"/>
            </w:tcBorders>
          </w:tcPr>
          <w:p w14:paraId="2935CCCC" w14:textId="77777777" w:rsidR="00686AF2" w:rsidRDefault="00686AF2">
            <w:pPr>
              <w:spacing w:line="240" w:lineRule="auto"/>
              <w:ind w:left="113"/>
              <w:jc w:val="both"/>
              <w:rPr>
                <w:rFonts w:ascii="Garamond" w:hAnsi="Garamond" w:cs="TimesNewRoman"/>
                <w:iCs/>
                <w:sz w:val="24"/>
                <w:szCs w:val="24"/>
                <w:lang w:val="en-US" w:eastAsia="it-IT"/>
              </w:rPr>
            </w:pPr>
          </w:p>
        </w:tc>
        <w:tc>
          <w:tcPr>
            <w:tcW w:w="1320" w:type="pct"/>
            <w:tcBorders>
              <w:top w:val="single" w:sz="4" w:space="0" w:color="auto"/>
              <w:left w:val="single" w:sz="4" w:space="0" w:color="auto"/>
              <w:bottom w:val="single" w:sz="4" w:space="0" w:color="auto"/>
              <w:right w:val="single" w:sz="4" w:space="0" w:color="auto"/>
            </w:tcBorders>
          </w:tcPr>
          <w:p w14:paraId="0FFE8182" w14:textId="77777777" w:rsidR="00686AF2" w:rsidRDefault="00686AF2">
            <w:pPr>
              <w:spacing w:line="240" w:lineRule="auto"/>
              <w:ind w:left="113"/>
              <w:jc w:val="both"/>
              <w:rPr>
                <w:rFonts w:ascii="Garamond" w:hAnsi="Garamond" w:cs="TimesNewRoman"/>
                <w:iCs/>
                <w:sz w:val="24"/>
                <w:szCs w:val="24"/>
                <w:lang w:val="en-US" w:eastAsia="it-IT"/>
              </w:rPr>
            </w:pPr>
          </w:p>
        </w:tc>
        <w:tc>
          <w:tcPr>
            <w:tcW w:w="581" w:type="pct"/>
            <w:tcBorders>
              <w:top w:val="single" w:sz="4" w:space="0" w:color="auto"/>
              <w:left w:val="single" w:sz="4" w:space="0" w:color="auto"/>
              <w:bottom w:val="single" w:sz="4" w:space="0" w:color="auto"/>
              <w:right w:val="single" w:sz="4" w:space="0" w:color="auto"/>
            </w:tcBorders>
          </w:tcPr>
          <w:p w14:paraId="31BB1213" w14:textId="77777777" w:rsidR="00686AF2" w:rsidRDefault="00686AF2">
            <w:pPr>
              <w:spacing w:line="240" w:lineRule="auto"/>
              <w:ind w:left="113"/>
              <w:jc w:val="both"/>
              <w:rPr>
                <w:rFonts w:ascii="Garamond" w:hAnsi="Garamond" w:cs="TimesNewRoman"/>
                <w:iCs/>
                <w:sz w:val="24"/>
                <w:szCs w:val="24"/>
                <w:lang w:val="en-US" w:eastAsia="it-IT"/>
              </w:rPr>
            </w:pPr>
          </w:p>
        </w:tc>
        <w:tc>
          <w:tcPr>
            <w:tcW w:w="780" w:type="pct"/>
            <w:tcBorders>
              <w:top w:val="single" w:sz="4" w:space="0" w:color="auto"/>
              <w:left w:val="single" w:sz="4" w:space="0" w:color="auto"/>
              <w:bottom w:val="single" w:sz="4" w:space="0" w:color="auto"/>
              <w:right w:val="single" w:sz="4" w:space="0" w:color="auto"/>
            </w:tcBorders>
          </w:tcPr>
          <w:p w14:paraId="70B11F11" w14:textId="77777777" w:rsidR="00686AF2" w:rsidRDefault="00686AF2">
            <w:pPr>
              <w:spacing w:line="240" w:lineRule="auto"/>
              <w:ind w:left="113"/>
              <w:jc w:val="both"/>
              <w:rPr>
                <w:rFonts w:ascii="Garamond" w:hAnsi="Garamond" w:cs="TimesNewRoman"/>
                <w:iCs/>
                <w:sz w:val="24"/>
                <w:szCs w:val="24"/>
                <w:lang w:val="en-US" w:eastAsia="it-IT"/>
              </w:rPr>
            </w:pPr>
          </w:p>
        </w:tc>
      </w:tr>
      <w:tr w:rsidR="00686AF2" w14:paraId="0782DB09" w14:textId="77777777" w:rsidTr="00686AF2">
        <w:tc>
          <w:tcPr>
            <w:tcW w:w="1006" w:type="pct"/>
            <w:tcBorders>
              <w:top w:val="single" w:sz="4" w:space="0" w:color="auto"/>
              <w:left w:val="single" w:sz="4" w:space="0" w:color="auto"/>
              <w:bottom w:val="single" w:sz="4" w:space="0" w:color="auto"/>
              <w:right w:val="single" w:sz="4" w:space="0" w:color="auto"/>
            </w:tcBorders>
            <w:hideMark/>
          </w:tcPr>
          <w:p w14:paraId="1DABB781" w14:textId="77777777" w:rsidR="00686AF2" w:rsidRDefault="00686AF2">
            <w:pPr>
              <w:spacing w:line="240" w:lineRule="auto"/>
              <w:ind w:left="113"/>
              <w:jc w:val="both"/>
              <w:rPr>
                <w:rFonts w:ascii="Garamond" w:hAnsi="Garamond" w:cs="TimesNewRoman"/>
                <w:iCs/>
                <w:sz w:val="24"/>
                <w:szCs w:val="24"/>
                <w:lang w:val="en-US" w:eastAsia="it-IT"/>
              </w:rPr>
            </w:pPr>
            <w:r>
              <w:rPr>
                <w:rFonts w:ascii="Garamond" w:hAnsi="Garamond" w:cs="TimesNewRoman"/>
                <w:iCs/>
                <w:sz w:val="24"/>
                <w:szCs w:val="24"/>
                <w:lang w:val="en-US" w:eastAsia="it-IT"/>
              </w:rPr>
              <w:t>Electrophysiologic properties of the heart (Seminar)</w:t>
            </w:r>
          </w:p>
        </w:tc>
        <w:tc>
          <w:tcPr>
            <w:tcW w:w="455" w:type="pct"/>
            <w:tcBorders>
              <w:top w:val="single" w:sz="4" w:space="0" w:color="auto"/>
              <w:left w:val="single" w:sz="4" w:space="0" w:color="auto"/>
              <w:bottom w:val="single" w:sz="4" w:space="0" w:color="auto"/>
              <w:right w:val="single" w:sz="4" w:space="0" w:color="auto"/>
            </w:tcBorders>
            <w:hideMark/>
          </w:tcPr>
          <w:p w14:paraId="5FAB8AC1" w14:textId="77777777" w:rsidR="00686AF2" w:rsidRDefault="00686AF2">
            <w:pPr>
              <w:spacing w:line="240" w:lineRule="auto"/>
              <w:ind w:left="113"/>
              <w:jc w:val="both"/>
              <w:rPr>
                <w:rFonts w:ascii="Garamond" w:hAnsi="Garamond" w:cs="TimesNewRoman"/>
                <w:iCs/>
                <w:sz w:val="24"/>
                <w:szCs w:val="24"/>
                <w:lang w:val="en-US" w:eastAsia="it-IT"/>
              </w:rPr>
            </w:pPr>
            <w:r>
              <w:rPr>
                <w:rFonts w:ascii="Garamond" w:hAnsi="Garamond" w:cs="TimesNewRoman"/>
                <w:iCs/>
                <w:sz w:val="24"/>
                <w:szCs w:val="24"/>
                <w:lang w:val="en-US" w:eastAsia="it-IT"/>
              </w:rPr>
              <w:t>3</w:t>
            </w:r>
          </w:p>
        </w:tc>
        <w:tc>
          <w:tcPr>
            <w:tcW w:w="391" w:type="pct"/>
            <w:tcBorders>
              <w:top w:val="single" w:sz="4" w:space="0" w:color="auto"/>
              <w:left w:val="single" w:sz="4" w:space="0" w:color="auto"/>
              <w:bottom w:val="single" w:sz="4" w:space="0" w:color="auto"/>
              <w:right w:val="single" w:sz="4" w:space="0" w:color="auto"/>
            </w:tcBorders>
            <w:hideMark/>
          </w:tcPr>
          <w:p w14:paraId="52F70579" w14:textId="77777777" w:rsidR="00686AF2" w:rsidRDefault="00686AF2">
            <w:pPr>
              <w:spacing w:line="240" w:lineRule="auto"/>
              <w:ind w:left="113"/>
              <w:jc w:val="both"/>
              <w:rPr>
                <w:rFonts w:ascii="Garamond" w:hAnsi="Garamond" w:cs="TimesNewRoman"/>
                <w:iCs/>
                <w:sz w:val="24"/>
                <w:szCs w:val="24"/>
                <w:lang w:val="en-US" w:eastAsia="it-IT"/>
              </w:rPr>
            </w:pPr>
            <w:r>
              <w:rPr>
                <w:rFonts w:ascii="Garamond" w:hAnsi="Garamond" w:cs="TimesNewRoman"/>
                <w:iCs/>
                <w:sz w:val="24"/>
                <w:szCs w:val="24"/>
                <w:lang w:val="en-US" w:eastAsia="it-IT"/>
              </w:rPr>
              <w:t>3</w:t>
            </w:r>
          </w:p>
        </w:tc>
        <w:tc>
          <w:tcPr>
            <w:tcW w:w="467" w:type="pct"/>
            <w:tcBorders>
              <w:top w:val="single" w:sz="4" w:space="0" w:color="auto"/>
              <w:left w:val="single" w:sz="4" w:space="0" w:color="auto"/>
              <w:bottom w:val="single" w:sz="4" w:space="0" w:color="auto"/>
              <w:right w:val="single" w:sz="4" w:space="0" w:color="auto"/>
            </w:tcBorders>
            <w:hideMark/>
          </w:tcPr>
          <w:p w14:paraId="6999DA5B" w14:textId="77777777" w:rsidR="00686AF2" w:rsidRDefault="00686AF2">
            <w:pPr>
              <w:spacing w:line="240" w:lineRule="auto"/>
              <w:ind w:left="113"/>
              <w:jc w:val="both"/>
              <w:rPr>
                <w:rFonts w:ascii="Garamond" w:hAnsi="Garamond" w:cs="TimesNewRoman"/>
                <w:iCs/>
                <w:sz w:val="24"/>
                <w:szCs w:val="24"/>
                <w:lang w:val="en-US" w:eastAsia="it-IT"/>
              </w:rPr>
            </w:pPr>
            <w:r>
              <w:rPr>
                <w:rFonts w:ascii="Garamond" w:hAnsi="Garamond" w:cs="TimesNewRoman"/>
                <w:iCs/>
                <w:sz w:val="24"/>
                <w:szCs w:val="24"/>
                <w:lang w:val="en-US" w:eastAsia="it-IT"/>
              </w:rPr>
              <w:t>De Ponti</w:t>
            </w:r>
          </w:p>
        </w:tc>
        <w:tc>
          <w:tcPr>
            <w:tcW w:w="1320" w:type="pct"/>
            <w:tcBorders>
              <w:top w:val="single" w:sz="4" w:space="0" w:color="auto"/>
              <w:left w:val="single" w:sz="4" w:space="0" w:color="auto"/>
              <w:bottom w:val="single" w:sz="4" w:space="0" w:color="auto"/>
              <w:right w:val="single" w:sz="4" w:space="0" w:color="auto"/>
            </w:tcBorders>
            <w:hideMark/>
          </w:tcPr>
          <w:p w14:paraId="4E5AC85F" w14:textId="77777777" w:rsidR="00686AF2" w:rsidRDefault="00686AF2">
            <w:pPr>
              <w:spacing w:line="240" w:lineRule="auto"/>
              <w:ind w:left="113"/>
              <w:jc w:val="both"/>
              <w:rPr>
                <w:rFonts w:ascii="Garamond" w:hAnsi="Garamond" w:cs="TimesNewRoman"/>
                <w:iCs/>
                <w:sz w:val="24"/>
                <w:szCs w:val="24"/>
                <w:lang w:val="en-CA" w:eastAsia="it-IT"/>
              </w:rPr>
            </w:pPr>
            <w:r>
              <w:rPr>
                <w:rFonts w:ascii="Garamond" w:hAnsi="Garamond" w:cs="TimesNewRoman"/>
                <w:iCs/>
                <w:sz w:val="24"/>
                <w:szCs w:val="24"/>
                <w:lang w:val="en-CA" w:eastAsia="it-IT"/>
              </w:rPr>
              <w:t>Electrical activity of myocardial cells, genesis of the action potential, and genesis of the surface electrocardiogram; principles of cardiac arrhythmogenesis; recording of intracavitary electrical potentials; invasive electrophysiological evaluation; cardiac arrhythmias and their impact on cardiac function.</w:t>
            </w:r>
          </w:p>
        </w:tc>
        <w:tc>
          <w:tcPr>
            <w:tcW w:w="581" w:type="pct"/>
            <w:tcBorders>
              <w:top w:val="single" w:sz="4" w:space="0" w:color="auto"/>
              <w:left w:val="single" w:sz="4" w:space="0" w:color="auto"/>
              <w:bottom w:val="single" w:sz="4" w:space="0" w:color="auto"/>
              <w:right w:val="single" w:sz="4" w:space="0" w:color="auto"/>
            </w:tcBorders>
            <w:hideMark/>
          </w:tcPr>
          <w:p w14:paraId="0BC5D342" w14:textId="77777777" w:rsidR="00686AF2" w:rsidRDefault="00686AF2">
            <w:pPr>
              <w:spacing w:line="240" w:lineRule="auto"/>
              <w:ind w:left="113"/>
              <w:jc w:val="both"/>
              <w:rPr>
                <w:rFonts w:ascii="Garamond" w:hAnsi="Garamond" w:cs="TimesNewRoman"/>
                <w:iCs/>
                <w:sz w:val="24"/>
                <w:szCs w:val="24"/>
                <w:lang w:val="en-CA" w:eastAsia="it-IT"/>
              </w:rPr>
            </w:pPr>
            <w:r>
              <w:rPr>
                <w:rFonts w:ascii="Garamond" w:hAnsi="Garamond" w:cs="TimesNewRoman"/>
                <w:iCs/>
                <w:sz w:val="24"/>
                <w:szCs w:val="24"/>
                <w:lang w:val="en-CA" w:eastAsia="it-IT"/>
              </w:rPr>
              <w:t>No</w:t>
            </w:r>
          </w:p>
        </w:tc>
        <w:tc>
          <w:tcPr>
            <w:tcW w:w="780" w:type="pct"/>
            <w:tcBorders>
              <w:top w:val="single" w:sz="4" w:space="0" w:color="auto"/>
              <w:left w:val="single" w:sz="4" w:space="0" w:color="auto"/>
              <w:bottom w:val="single" w:sz="4" w:space="0" w:color="auto"/>
              <w:right w:val="single" w:sz="4" w:space="0" w:color="auto"/>
            </w:tcBorders>
            <w:hideMark/>
          </w:tcPr>
          <w:p w14:paraId="3F465049" w14:textId="77777777" w:rsidR="00686AF2" w:rsidRDefault="00686AF2">
            <w:pPr>
              <w:spacing w:line="240" w:lineRule="auto"/>
              <w:ind w:left="113"/>
              <w:jc w:val="both"/>
              <w:rPr>
                <w:rFonts w:ascii="Garamond" w:hAnsi="Garamond" w:cs="TimesNewRoman"/>
                <w:iCs/>
                <w:sz w:val="24"/>
                <w:szCs w:val="24"/>
                <w:lang w:val="en-CA" w:eastAsia="it-IT"/>
              </w:rPr>
            </w:pPr>
            <w:r>
              <w:rPr>
                <w:rFonts w:ascii="Garamond" w:hAnsi="Garamond" w:cs="TimesNewRoman"/>
                <w:iCs/>
                <w:sz w:val="24"/>
                <w:szCs w:val="24"/>
                <w:lang w:val="en-CA" w:eastAsia="it-IT"/>
              </w:rPr>
              <w:t>30 June 2026, h. 15-18</w:t>
            </w:r>
          </w:p>
        </w:tc>
      </w:tr>
      <w:tr w:rsidR="00686AF2" w14:paraId="38BE06C9" w14:textId="77777777" w:rsidTr="00686AF2">
        <w:tc>
          <w:tcPr>
            <w:tcW w:w="1006" w:type="pct"/>
            <w:tcBorders>
              <w:top w:val="single" w:sz="4" w:space="0" w:color="auto"/>
              <w:left w:val="single" w:sz="4" w:space="0" w:color="auto"/>
              <w:bottom w:val="single" w:sz="4" w:space="0" w:color="auto"/>
              <w:right w:val="single" w:sz="4" w:space="0" w:color="auto"/>
            </w:tcBorders>
          </w:tcPr>
          <w:p w14:paraId="4219ABEE" w14:textId="77777777" w:rsidR="00686AF2" w:rsidRDefault="00686AF2">
            <w:pPr>
              <w:spacing w:line="240" w:lineRule="auto"/>
              <w:ind w:left="113"/>
              <w:jc w:val="both"/>
              <w:rPr>
                <w:rFonts w:ascii="Garamond" w:hAnsi="Garamond" w:cs="TimesNewRoman"/>
                <w:iCs/>
                <w:sz w:val="24"/>
                <w:szCs w:val="24"/>
                <w:lang w:val="en-US" w:eastAsia="it-IT"/>
              </w:rPr>
            </w:pPr>
            <w:r>
              <w:rPr>
                <w:rFonts w:ascii="Garamond" w:hAnsi="Garamond" w:cs="TimesNewRoman"/>
                <w:iCs/>
                <w:sz w:val="24"/>
                <w:szCs w:val="24"/>
                <w:lang w:val="en-US" w:eastAsia="it-IT"/>
              </w:rPr>
              <w:t>Annual Giovanna Tosi Day – Recent Advances in Oncology and Infectious Diseases</w:t>
            </w:r>
          </w:p>
          <w:p w14:paraId="6DE5A41F" w14:textId="77777777" w:rsidR="00686AF2" w:rsidRDefault="00686AF2">
            <w:pPr>
              <w:spacing w:line="240" w:lineRule="auto"/>
              <w:ind w:left="113"/>
              <w:jc w:val="both"/>
              <w:rPr>
                <w:rFonts w:ascii="Garamond" w:hAnsi="Garamond" w:cs="TimesNewRoman"/>
                <w:iCs/>
                <w:sz w:val="24"/>
                <w:szCs w:val="24"/>
                <w:lang w:val="en-US" w:eastAsia="it-IT"/>
              </w:rPr>
            </w:pPr>
          </w:p>
        </w:tc>
        <w:tc>
          <w:tcPr>
            <w:tcW w:w="455" w:type="pct"/>
            <w:tcBorders>
              <w:top w:val="single" w:sz="4" w:space="0" w:color="auto"/>
              <w:left w:val="single" w:sz="4" w:space="0" w:color="auto"/>
              <w:bottom w:val="single" w:sz="4" w:space="0" w:color="auto"/>
              <w:right w:val="single" w:sz="4" w:space="0" w:color="auto"/>
            </w:tcBorders>
            <w:hideMark/>
          </w:tcPr>
          <w:p w14:paraId="1DD63139" w14:textId="77777777" w:rsidR="00686AF2" w:rsidRDefault="00686AF2">
            <w:pPr>
              <w:spacing w:line="240" w:lineRule="auto"/>
              <w:ind w:left="113"/>
              <w:jc w:val="both"/>
              <w:rPr>
                <w:rFonts w:ascii="Garamond" w:hAnsi="Garamond" w:cs="TimesNewRoman"/>
                <w:iCs/>
                <w:sz w:val="24"/>
                <w:szCs w:val="24"/>
                <w:lang w:val="en-US" w:eastAsia="it-IT"/>
              </w:rPr>
            </w:pPr>
            <w:r>
              <w:rPr>
                <w:rFonts w:ascii="Garamond" w:hAnsi="Garamond" w:cs="TimesNewRoman"/>
                <w:iCs/>
                <w:sz w:val="24"/>
                <w:szCs w:val="24"/>
                <w:lang w:val="en-US" w:eastAsia="it-IT"/>
              </w:rPr>
              <w:t>1-3</w:t>
            </w:r>
          </w:p>
        </w:tc>
        <w:tc>
          <w:tcPr>
            <w:tcW w:w="391" w:type="pct"/>
            <w:tcBorders>
              <w:top w:val="single" w:sz="4" w:space="0" w:color="auto"/>
              <w:left w:val="single" w:sz="4" w:space="0" w:color="auto"/>
              <w:bottom w:val="single" w:sz="4" w:space="0" w:color="auto"/>
              <w:right w:val="single" w:sz="4" w:space="0" w:color="auto"/>
            </w:tcBorders>
            <w:hideMark/>
          </w:tcPr>
          <w:p w14:paraId="3D2B2A34" w14:textId="77777777" w:rsidR="00686AF2" w:rsidRDefault="00686AF2">
            <w:pPr>
              <w:spacing w:line="240" w:lineRule="auto"/>
              <w:ind w:left="113"/>
              <w:jc w:val="both"/>
              <w:rPr>
                <w:rFonts w:ascii="Garamond" w:hAnsi="Garamond" w:cs="TimesNewRoman"/>
                <w:iCs/>
                <w:sz w:val="24"/>
                <w:szCs w:val="24"/>
                <w:lang w:val="en-US" w:eastAsia="it-IT"/>
              </w:rPr>
            </w:pPr>
            <w:r>
              <w:rPr>
                <w:rFonts w:ascii="Garamond" w:hAnsi="Garamond" w:cs="TimesNewRoman"/>
                <w:iCs/>
                <w:sz w:val="24"/>
                <w:szCs w:val="24"/>
                <w:lang w:val="en-US" w:eastAsia="it-IT"/>
              </w:rPr>
              <w:t>8</w:t>
            </w:r>
          </w:p>
        </w:tc>
        <w:tc>
          <w:tcPr>
            <w:tcW w:w="467" w:type="pct"/>
            <w:tcBorders>
              <w:top w:val="single" w:sz="4" w:space="0" w:color="auto"/>
              <w:left w:val="single" w:sz="4" w:space="0" w:color="auto"/>
              <w:bottom w:val="single" w:sz="4" w:space="0" w:color="auto"/>
              <w:right w:val="single" w:sz="4" w:space="0" w:color="auto"/>
            </w:tcBorders>
            <w:hideMark/>
          </w:tcPr>
          <w:p w14:paraId="3BFEE635" w14:textId="77777777" w:rsidR="00686AF2" w:rsidRDefault="00686AF2">
            <w:pPr>
              <w:spacing w:line="240" w:lineRule="auto"/>
              <w:ind w:left="113"/>
              <w:jc w:val="both"/>
              <w:rPr>
                <w:rFonts w:ascii="Garamond" w:hAnsi="Garamond" w:cs="TimesNewRoman"/>
                <w:iCs/>
                <w:sz w:val="24"/>
                <w:szCs w:val="24"/>
                <w:lang w:val="en-US" w:eastAsia="it-IT"/>
              </w:rPr>
            </w:pPr>
            <w:proofErr w:type="spellStart"/>
            <w:r>
              <w:rPr>
                <w:rFonts w:ascii="Garamond" w:hAnsi="Garamond" w:cs="TimesNewRoman"/>
                <w:iCs/>
                <w:sz w:val="24"/>
                <w:szCs w:val="24"/>
                <w:lang w:val="en-US" w:eastAsia="it-IT"/>
              </w:rPr>
              <w:t>Accolla</w:t>
            </w:r>
            <w:proofErr w:type="spellEnd"/>
          </w:p>
        </w:tc>
        <w:tc>
          <w:tcPr>
            <w:tcW w:w="1320" w:type="pct"/>
            <w:tcBorders>
              <w:top w:val="single" w:sz="4" w:space="0" w:color="auto"/>
              <w:left w:val="single" w:sz="4" w:space="0" w:color="auto"/>
              <w:bottom w:val="single" w:sz="4" w:space="0" w:color="auto"/>
              <w:right w:val="single" w:sz="4" w:space="0" w:color="auto"/>
            </w:tcBorders>
            <w:hideMark/>
          </w:tcPr>
          <w:p w14:paraId="3CD24683" w14:textId="77777777" w:rsidR="00686AF2" w:rsidRDefault="00686AF2">
            <w:pPr>
              <w:spacing w:line="240" w:lineRule="auto"/>
              <w:ind w:left="113"/>
              <w:jc w:val="both"/>
              <w:rPr>
                <w:rFonts w:ascii="Garamond" w:hAnsi="Garamond" w:cs="TimesNewRoman"/>
                <w:iCs/>
                <w:sz w:val="24"/>
                <w:szCs w:val="24"/>
                <w:lang w:val="en-US" w:eastAsia="it-IT"/>
              </w:rPr>
            </w:pPr>
            <w:r>
              <w:rPr>
                <w:rFonts w:ascii="Garamond" w:hAnsi="Garamond" w:cs="TimesNewRoman"/>
                <w:iCs/>
                <w:sz w:val="24"/>
                <w:szCs w:val="24"/>
                <w:lang w:val="en-US" w:eastAsia="it-IT"/>
              </w:rPr>
              <w:t>The Memorial Day and forum, honoring our colleague, will feature national and international experts discussing the causes, incidence, diagnosis, and treatment of neoplastic diseases. Special attention will be given to tumors induced by pathogenic agents, as well as the immunological defenses the body employs against cancer.</w:t>
            </w:r>
          </w:p>
        </w:tc>
        <w:tc>
          <w:tcPr>
            <w:tcW w:w="581" w:type="pct"/>
            <w:tcBorders>
              <w:top w:val="single" w:sz="4" w:space="0" w:color="auto"/>
              <w:left w:val="single" w:sz="4" w:space="0" w:color="auto"/>
              <w:bottom w:val="single" w:sz="4" w:space="0" w:color="auto"/>
              <w:right w:val="single" w:sz="4" w:space="0" w:color="auto"/>
            </w:tcBorders>
            <w:hideMark/>
          </w:tcPr>
          <w:p w14:paraId="69E7DF76" w14:textId="77777777" w:rsidR="00686AF2" w:rsidRDefault="00686AF2">
            <w:pPr>
              <w:spacing w:line="240" w:lineRule="auto"/>
              <w:ind w:left="113"/>
              <w:jc w:val="both"/>
              <w:rPr>
                <w:rFonts w:ascii="Garamond" w:hAnsi="Garamond" w:cs="TimesNewRoman"/>
                <w:iCs/>
                <w:sz w:val="24"/>
                <w:szCs w:val="24"/>
                <w:lang w:val="en-CA" w:eastAsia="it-IT"/>
              </w:rPr>
            </w:pPr>
            <w:r>
              <w:rPr>
                <w:rFonts w:ascii="Garamond" w:hAnsi="Garamond" w:cs="TimesNewRoman"/>
                <w:iCs/>
                <w:sz w:val="24"/>
                <w:szCs w:val="24"/>
                <w:lang w:val="en-CA" w:eastAsia="it-IT"/>
              </w:rPr>
              <w:t>No</w:t>
            </w:r>
          </w:p>
        </w:tc>
        <w:tc>
          <w:tcPr>
            <w:tcW w:w="780" w:type="pct"/>
            <w:tcBorders>
              <w:top w:val="single" w:sz="4" w:space="0" w:color="auto"/>
              <w:left w:val="single" w:sz="4" w:space="0" w:color="auto"/>
              <w:bottom w:val="single" w:sz="4" w:space="0" w:color="auto"/>
              <w:right w:val="single" w:sz="4" w:space="0" w:color="auto"/>
            </w:tcBorders>
            <w:hideMark/>
          </w:tcPr>
          <w:p w14:paraId="7F74A3D4" w14:textId="77777777" w:rsidR="00686AF2" w:rsidRDefault="00686AF2">
            <w:pPr>
              <w:spacing w:line="240" w:lineRule="auto"/>
              <w:ind w:left="113"/>
              <w:jc w:val="both"/>
              <w:rPr>
                <w:rFonts w:ascii="Garamond" w:hAnsi="Garamond" w:cs="TimesNewRoman"/>
                <w:iCs/>
                <w:sz w:val="24"/>
                <w:szCs w:val="24"/>
                <w:lang w:val="en-CA" w:eastAsia="it-IT"/>
              </w:rPr>
            </w:pPr>
            <w:r>
              <w:rPr>
                <w:rFonts w:ascii="Garamond" w:hAnsi="Garamond" w:cs="TimesNewRoman"/>
                <w:iCs/>
                <w:sz w:val="24"/>
                <w:szCs w:val="24"/>
                <w:lang w:val="en-CA" w:eastAsia="it-IT"/>
              </w:rPr>
              <w:t>September 2026</w:t>
            </w:r>
          </w:p>
        </w:tc>
      </w:tr>
      <w:tr w:rsidR="00686AF2" w14:paraId="4C0B24D7" w14:textId="77777777" w:rsidTr="00686AF2">
        <w:tc>
          <w:tcPr>
            <w:tcW w:w="1006" w:type="pct"/>
            <w:tcBorders>
              <w:top w:val="single" w:sz="4" w:space="0" w:color="auto"/>
              <w:left w:val="single" w:sz="4" w:space="0" w:color="auto"/>
              <w:bottom w:val="single" w:sz="4" w:space="0" w:color="auto"/>
              <w:right w:val="single" w:sz="4" w:space="0" w:color="auto"/>
            </w:tcBorders>
            <w:hideMark/>
          </w:tcPr>
          <w:p w14:paraId="6D170FC7" w14:textId="77777777" w:rsidR="00686AF2" w:rsidRDefault="00686AF2">
            <w:pPr>
              <w:spacing w:line="240" w:lineRule="auto"/>
              <w:ind w:left="113"/>
              <w:jc w:val="both"/>
              <w:rPr>
                <w:rFonts w:ascii="Garamond" w:hAnsi="Garamond" w:cs="TimesNewRoman"/>
                <w:iCs/>
                <w:sz w:val="24"/>
                <w:szCs w:val="24"/>
                <w:lang w:val="en-US" w:eastAsia="it-IT"/>
              </w:rPr>
            </w:pPr>
            <w:r>
              <w:rPr>
                <w:rFonts w:ascii="Garamond" w:hAnsi="Garamond" w:cs="TimesNewRoman"/>
                <w:iCs/>
                <w:sz w:val="24"/>
                <w:szCs w:val="24"/>
                <w:lang w:val="en-US" w:eastAsia="it-IT"/>
              </w:rPr>
              <w:t>Workshop: The enteric nervous system in health and disease</w:t>
            </w:r>
          </w:p>
        </w:tc>
        <w:tc>
          <w:tcPr>
            <w:tcW w:w="455" w:type="pct"/>
            <w:tcBorders>
              <w:top w:val="single" w:sz="4" w:space="0" w:color="auto"/>
              <w:left w:val="single" w:sz="4" w:space="0" w:color="auto"/>
              <w:bottom w:val="single" w:sz="4" w:space="0" w:color="auto"/>
              <w:right w:val="single" w:sz="4" w:space="0" w:color="auto"/>
            </w:tcBorders>
          </w:tcPr>
          <w:p w14:paraId="28C53F6E" w14:textId="77777777" w:rsidR="00686AF2" w:rsidRDefault="00686AF2">
            <w:pPr>
              <w:spacing w:line="240" w:lineRule="auto"/>
              <w:ind w:left="113"/>
              <w:jc w:val="both"/>
              <w:rPr>
                <w:rFonts w:ascii="Garamond" w:hAnsi="Garamond" w:cs="TimesNewRoman"/>
                <w:iCs/>
                <w:sz w:val="24"/>
                <w:szCs w:val="24"/>
                <w:lang w:val="en-US" w:eastAsia="it-IT"/>
              </w:rPr>
            </w:pPr>
          </w:p>
        </w:tc>
        <w:tc>
          <w:tcPr>
            <w:tcW w:w="391" w:type="pct"/>
            <w:tcBorders>
              <w:top w:val="single" w:sz="4" w:space="0" w:color="auto"/>
              <w:left w:val="single" w:sz="4" w:space="0" w:color="auto"/>
              <w:bottom w:val="single" w:sz="4" w:space="0" w:color="auto"/>
              <w:right w:val="single" w:sz="4" w:space="0" w:color="auto"/>
            </w:tcBorders>
            <w:hideMark/>
          </w:tcPr>
          <w:p w14:paraId="321F156F" w14:textId="77777777" w:rsidR="00686AF2" w:rsidRDefault="00686AF2">
            <w:pPr>
              <w:spacing w:line="240" w:lineRule="auto"/>
              <w:ind w:left="113"/>
              <w:jc w:val="both"/>
              <w:rPr>
                <w:rFonts w:ascii="Garamond" w:hAnsi="Garamond" w:cs="TimesNewRoman"/>
                <w:iCs/>
                <w:sz w:val="24"/>
                <w:szCs w:val="24"/>
                <w:lang w:val="en-US" w:eastAsia="it-IT"/>
              </w:rPr>
            </w:pPr>
            <w:r>
              <w:rPr>
                <w:rFonts w:ascii="Garamond" w:hAnsi="Garamond" w:cs="TimesNewRoman"/>
                <w:iCs/>
                <w:sz w:val="24"/>
                <w:szCs w:val="24"/>
                <w:lang w:val="en-US" w:eastAsia="it-IT"/>
              </w:rPr>
              <w:t>8</w:t>
            </w:r>
          </w:p>
        </w:tc>
        <w:tc>
          <w:tcPr>
            <w:tcW w:w="467" w:type="pct"/>
            <w:tcBorders>
              <w:top w:val="single" w:sz="4" w:space="0" w:color="auto"/>
              <w:left w:val="single" w:sz="4" w:space="0" w:color="auto"/>
              <w:bottom w:val="single" w:sz="4" w:space="0" w:color="auto"/>
              <w:right w:val="single" w:sz="4" w:space="0" w:color="auto"/>
            </w:tcBorders>
            <w:hideMark/>
          </w:tcPr>
          <w:p w14:paraId="6D861F2F" w14:textId="77777777" w:rsidR="00686AF2" w:rsidRDefault="00686AF2">
            <w:pPr>
              <w:spacing w:line="240" w:lineRule="auto"/>
              <w:ind w:left="113"/>
              <w:jc w:val="both"/>
              <w:rPr>
                <w:rFonts w:ascii="Garamond" w:hAnsi="Garamond" w:cs="TimesNewRoman"/>
                <w:iCs/>
                <w:sz w:val="24"/>
                <w:szCs w:val="24"/>
                <w:lang w:val="en-US" w:eastAsia="it-IT"/>
              </w:rPr>
            </w:pPr>
            <w:proofErr w:type="spellStart"/>
            <w:r>
              <w:rPr>
                <w:rFonts w:ascii="Garamond" w:hAnsi="Garamond" w:cs="TimesNewRoman"/>
                <w:iCs/>
                <w:sz w:val="24"/>
                <w:szCs w:val="24"/>
                <w:lang w:val="en-US" w:eastAsia="it-IT"/>
              </w:rPr>
              <w:t>Giaroni</w:t>
            </w:r>
            <w:proofErr w:type="spellEnd"/>
            <w:r>
              <w:rPr>
                <w:rFonts w:ascii="Garamond" w:hAnsi="Garamond" w:cs="TimesNewRoman"/>
                <w:iCs/>
                <w:sz w:val="24"/>
                <w:szCs w:val="24"/>
                <w:lang w:val="en-US" w:eastAsia="it-IT"/>
              </w:rPr>
              <w:t>, Forti</w:t>
            </w:r>
          </w:p>
        </w:tc>
        <w:tc>
          <w:tcPr>
            <w:tcW w:w="1320" w:type="pct"/>
            <w:tcBorders>
              <w:top w:val="single" w:sz="4" w:space="0" w:color="auto"/>
              <w:left w:val="single" w:sz="4" w:space="0" w:color="auto"/>
              <w:bottom w:val="single" w:sz="4" w:space="0" w:color="auto"/>
              <w:right w:val="single" w:sz="4" w:space="0" w:color="auto"/>
            </w:tcBorders>
            <w:hideMark/>
          </w:tcPr>
          <w:p w14:paraId="4D674270" w14:textId="77777777" w:rsidR="00686AF2" w:rsidRDefault="00686AF2">
            <w:pPr>
              <w:spacing w:line="240" w:lineRule="auto"/>
              <w:ind w:left="113"/>
              <w:jc w:val="both"/>
              <w:rPr>
                <w:rFonts w:ascii="Garamond" w:hAnsi="Garamond" w:cs="TimesNewRoman"/>
                <w:iCs/>
                <w:sz w:val="24"/>
                <w:szCs w:val="24"/>
                <w:lang w:eastAsia="it-IT"/>
              </w:rPr>
            </w:pPr>
            <w:proofErr w:type="spellStart"/>
            <w:r>
              <w:rPr>
                <w:rFonts w:ascii="Garamond" w:hAnsi="Garamond" w:cs="TimesNewRoman"/>
                <w:iCs/>
                <w:sz w:val="24"/>
                <w:szCs w:val="24"/>
                <w:lang w:eastAsia="it-IT"/>
              </w:rPr>
              <w:t>Organized</w:t>
            </w:r>
            <w:proofErr w:type="spellEnd"/>
            <w:r>
              <w:rPr>
                <w:rFonts w:ascii="Garamond" w:hAnsi="Garamond" w:cs="TimesNewRoman"/>
                <w:iCs/>
                <w:sz w:val="24"/>
                <w:szCs w:val="24"/>
                <w:lang w:eastAsia="it-IT"/>
              </w:rPr>
              <w:t xml:space="preserve"> in </w:t>
            </w:r>
            <w:proofErr w:type="spellStart"/>
            <w:r>
              <w:rPr>
                <w:rFonts w:ascii="Garamond" w:hAnsi="Garamond" w:cs="TimesNewRoman"/>
                <w:iCs/>
                <w:sz w:val="24"/>
                <w:szCs w:val="24"/>
                <w:lang w:eastAsia="it-IT"/>
              </w:rPr>
              <w:t>collaboration</w:t>
            </w:r>
            <w:proofErr w:type="spellEnd"/>
            <w:r>
              <w:rPr>
                <w:rFonts w:ascii="Garamond" w:hAnsi="Garamond" w:cs="TimesNewRoman"/>
                <w:iCs/>
                <w:sz w:val="24"/>
                <w:szCs w:val="24"/>
                <w:lang w:eastAsia="it-IT"/>
              </w:rPr>
              <w:t xml:space="preserve"> with “Centro di neuroscienze”</w:t>
            </w:r>
          </w:p>
        </w:tc>
        <w:tc>
          <w:tcPr>
            <w:tcW w:w="581" w:type="pct"/>
            <w:tcBorders>
              <w:top w:val="single" w:sz="4" w:space="0" w:color="auto"/>
              <w:left w:val="single" w:sz="4" w:space="0" w:color="auto"/>
              <w:bottom w:val="single" w:sz="4" w:space="0" w:color="auto"/>
              <w:right w:val="single" w:sz="4" w:space="0" w:color="auto"/>
            </w:tcBorders>
            <w:hideMark/>
          </w:tcPr>
          <w:p w14:paraId="0D6C9FFA" w14:textId="77777777" w:rsidR="00686AF2" w:rsidRDefault="00686AF2">
            <w:pPr>
              <w:spacing w:line="240" w:lineRule="auto"/>
              <w:ind w:left="113"/>
              <w:jc w:val="both"/>
              <w:rPr>
                <w:rFonts w:ascii="Garamond" w:hAnsi="Garamond" w:cs="TimesNewRoman"/>
                <w:iCs/>
                <w:sz w:val="24"/>
                <w:szCs w:val="24"/>
                <w:lang w:eastAsia="it-IT"/>
              </w:rPr>
            </w:pPr>
            <w:r>
              <w:rPr>
                <w:rFonts w:ascii="Garamond" w:hAnsi="Garamond" w:cs="TimesNewRoman"/>
                <w:iCs/>
                <w:sz w:val="24"/>
                <w:szCs w:val="24"/>
                <w:lang w:eastAsia="it-IT"/>
              </w:rPr>
              <w:t>No</w:t>
            </w:r>
          </w:p>
        </w:tc>
        <w:tc>
          <w:tcPr>
            <w:tcW w:w="780" w:type="pct"/>
            <w:tcBorders>
              <w:top w:val="single" w:sz="4" w:space="0" w:color="auto"/>
              <w:left w:val="single" w:sz="4" w:space="0" w:color="auto"/>
              <w:bottom w:val="single" w:sz="4" w:space="0" w:color="auto"/>
              <w:right w:val="single" w:sz="4" w:space="0" w:color="auto"/>
            </w:tcBorders>
            <w:hideMark/>
          </w:tcPr>
          <w:p w14:paraId="1B41F2C5" w14:textId="77777777" w:rsidR="00686AF2" w:rsidRDefault="00686AF2">
            <w:pPr>
              <w:spacing w:line="240" w:lineRule="auto"/>
              <w:ind w:left="113"/>
              <w:jc w:val="both"/>
              <w:rPr>
                <w:rFonts w:ascii="Garamond" w:hAnsi="Garamond" w:cs="TimesNewRoman"/>
                <w:iCs/>
                <w:sz w:val="24"/>
                <w:szCs w:val="24"/>
                <w:lang w:eastAsia="it-IT"/>
              </w:rPr>
            </w:pPr>
            <w:r>
              <w:rPr>
                <w:rFonts w:ascii="Garamond" w:hAnsi="Garamond" w:cs="TimesNewRoman"/>
                <w:iCs/>
                <w:sz w:val="24"/>
                <w:szCs w:val="24"/>
                <w:lang w:eastAsia="it-IT"/>
              </w:rPr>
              <w:t xml:space="preserve">29 </w:t>
            </w:r>
            <w:proofErr w:type="spellStart"/>
            <w:r>
              <w:rPr>
                <w:rFonts w:ascii="Garamond" w:hAnsi="Garamond" w:cs="TimesNewRoman"/>
                <w:iCs/>
                <w:sz w:val="24"/>
                <w:szCs w:val="24"/>
                <w:lang w:eastAsia="it-IT"/>
              </w:rPr>
              <w:t>May</w:t>
            </w:r>
            <w:proofErr w:type="spellEnd"/>
            <w:r>
              <w:rPr>
                <w:rFonts w:ascii="Garamond" w:hAnsi="Garamond" w:cs="TimesNewRoman"/>
                <w:iCs/>
                <w:sz w:val="24"/>
                <w:szCs w:val="24"/>
                <w:lang w:eastAsia="it-IT"/>
              </w:rPr>
              <w:t xml:space="preserve"> 2026</w:t>
            </w:r>
          </w:p>
        </w:tc>
      </w:tr>
      <w:tr w:rsidR="00686AF2" w14:paraId="05B12476" w14:textId="77777777" w:rsidTr="00686AF2">
        <w:tc>
          <w:tcPr>
            <w:tcW w:w="1006" w:type="pct"/>
            <w:tcBorders>
              <w:top w:val="single" w:sz="4" w:space="0" w:color="auto"/>
              <w:left w:val="single" w:sz="4" w:space="0" w:color="auto"/>
              <w:bottom w:val="single" w:sz="4" w:space="0" w:color="auto"/>
              <w:right w:val="single" w:sz="4" w:space="0" w:color="auto"/>
            </w:tcBorders>
          </w:tcPr>
          <w:p w14:paraId="62912B90" w14:textId="77777777" w:rsidR="00686AF2" w:rsidRDefault="00686AF2">
            <w:pPr>
              <w:spacing w:line="240" w:lineRule="auto"/>
              <w:ind w:left="113"/>
              <w:jc w:val="both"/>
              <w:rPr>
                <w:rFonts w:ascii="Garamond" w:hAnsi="Garamond" w:cs="TimesNewRoman"/>
                <w:iCs/>
                <w:sz w:val="24"/>
                <w:szCs w:val="24"/>
                <w:lang w:val="en-US" w:eastAsia="it-IT"/>
              </w:rPr>
            </w:pPr>
            <w:r>
              <w:rPr>
                <w:rFonts w:ascii="Garamond" w:hAnsi="Garamond" w:cs="TimesNewRoman"/>
                <w:iCs/>
                <w:sz w:val="24"/>
                <w:szCs w:val="24"/>
                <w:lang w:val="en-US" w:eastAsia="it-IT"/>
              </w:rPr>
              <w:t xml:space="preserve">Seminars in neurochemistry: Molecular mechanisms in health and disease </w:t>
            </w:r>
          </w:p>
          <w:p w14:paraId="76411CE2" w14:textId="77777777" w:rsidR="00686AF2" w:rsidRDefault="00686AF2">
            <w:pPr>
              <w:spacing w:line="240" w:lineRule="auto"/>
              <w:ind w:left="113"/>
              <w:jc w:val="both"/>
              <w:rPr>
                <w:rFonts w:ascii="Garamond" w:hAnsi="Garamond" w:cs="TimesNewRoman"/>
                <w:iCs/>
                <w:sz w:val="24"/>
                <w:szCs w:val="24"/>
                <w:lang w:val="en-US" w:eastAsia="it-IT"/>
              </w:rPr>
            </w:pPr>
          </w:p>
        </w:tc>
        <w:tc>
          <w:tcPr>
            <w:tcW w:w="455" w:type="pct"/>
            <w:tcBorders>
              <w:top w:val="single" w:sz="4" w:space="0" w:color="auto"/>
              <w:left w:val="single" w:sz="4" w:space="0" w:color="auto"/>
              <w:bottom w:val="single" w:sz="4" w:space="0" w:color="auto"/>
              <w:right w:val="single" w:sz="4" w:space="0" w:color="auto"/>
            </w:tcBorders>
          </w:tcPr>
          <w:p w14:paraId="3AFE07AF" w14:textId="77777777" w:rsidR="00686AF2" w:rsidRDefault="00686AF2">
            <w:pPr>
              <w:spacing w:line="240" w:lineRule="auto"/>
              <w:ind w:left="113"/>
              <w:jc w:val="both"/>
              <w:rPr>
                <w:rFonts w:ascii="Garamond" w:hAnsi="Garamond" w:cs="TimesNewRoman"/>
                <w:iCs/>
                <w:sz w:val="24"/>
                <w:szCs w:val="24"/>
                <w:lang w:val="en-US" w:eastAsia="it-IT"/>
              </w:rPr>
            </w:pPr>
          </w:p>
        </w:tc>
        <w:tc>
          <w:tcPr>
            <w:tcW w:w="391" w:type="pct"/>
            <w:tcBorders>
              <w:top w:val="single" w:sz="4" w:space="0" w:color="auto"/>
              <w:left w:val="single" w:sz="4" w:space="0" w:color="auto"/>
              <w:bottom w:val="single" w:sz="4" w:space="0" w:color="auto"/>
              <w:right w:val="single" w:sz="4" w:space="0" w:color="auto"/>
            </w:tcBorders>
          </w:tcPr>
          <w:p w14:paraId="3E798889" w14:textId="77777777" w:rsidR="00686AF2" w:rsidRDefault="00686AF2">
            <w:pPr>
              <w:spacing w:line="240" w:lineRule="auto"/>
              <w:ind w:left="113"/>
              <w:jc w:val="both"/>
              <w:rPr>
                <w:rFonts w:ascii="Garamond" w:hAnsi="Garamond" w:cs="TimesNewRoman"/>
                <w:iCs/>
                <w:sz w:val="24"/>
                <w:szCs w:val="24"/>
                <w:lang w:val="en-US" w:eastAsia="it-IT"/>
              </w:rPr>
            </w:pPr>
          </w:p>
        </w:tc>
        <w:tc>
          <w:tcPr>
            <w:tcW w:w="467" w:type="pct"/>
            <w:tcBorders>
              <w:top w:val="single" w:sz="4" w:space="0" w:color="auto"/>
              <w:left w:val="single" w:sz="4" w:space="0" w:color="auto"/>
              <w:bottom w:val="single" w:sz="4" w:space="0" w:color="auto"/>
              <w:right w:val="single" w:sz="4" w:space="0" w:color="auto"/>
            </w:tcBorders>
            <w:hideMark/>
          </w:tcPr>
          <w:p w14:paraId="5777BFF1" w14:textId="77777777" w:rsidR="00686AF2" w:rsidRDefault="00686AF2">
            <w:pPr>
              <w:spacing w:line="240" w:lineRule="auto"/>
              <w:ind w:left="113"/>
              <w:jc w:val="both"/>
              <w:rPr>
                <w:rFonts w:ascii="Garamond" w:hAnsi="Garamond" w:cs="TimesNewRoman"/>
                <w:iCs/>
                <w:sz w:val="24"/>
                <w:szCs w:val="24"/>
                <w:lang w:val="en-US" w:eastAsia="it-IT"/>
              </w:rPr>
            </w:pPr>
            <w:proofErr w:type="spellStart"/>
            <w:r>
              <w:rPr>
                <w:rFonts w:ascii="Garamond" w:hAnsi="Garamond" w:cs="TimesNewRoman"/>
                <w:iCs/>
                <w:sz w:val="24"/>
                <w:szCs w:val="24"/>
                <w:lang w:val="en-US" w:eastAsia="it-IT"/>
              </w:rPr>
              <w:t>Bossi</w:t>
            </w:r>
            <w:proofErr w:type="spellEnd"/>
            <w:r>
              <w:rPr>
                <w:rFonts w:ascii="Garamond" w:hAnsi="Garamond" w:cs="TimesNewRoman"/>
                <w:iCs/>
                <w:sz w:val="24"/>
                <w:szCs w:val="24"/>
                <w:lang w:val="en-US" w:eastAsia="it-IT"/>
              </w:rPr>
              <w:t xml:space="preserve">, </w:t>
            </w:r>
            <w:proofErr w:type="spellStart"/>
            <w:r>
              <w:rPr>
                <w:rFonts w:ascii="Garamond" w:hAnsi="Garamond" w:cs="TimesNewRoman"/>
                <w:iCs/>
                <w:sz w:val="24"/>
                <w:szCs w:val="24"/>
                <w:lang w:val="en-US" w:eastAsia="it-IT"/>
              </w:rPr>
              <w:t>Rubino</w:t>
            </w:r>
            <w:proofErr w:type="spellEnd"/>
            <w:r>
              <w:rPr>
                <w:rFonts w:ascii="Garamond" w:hAnsi="Garamond" w:cs="TimesNewRoman"/>
                <w:iCs/>
                <w:sz w:val="24"/>
                <w:szCs w:val="24"/>
                <w:lang w:val="en-US" w:eastAsia="it-IT"/>
              </w:rPr>
              <w:t xml:space="preserve">, </w:t>
            </w:r>
            <w:proofErr w:type="spellStart"/>
            <w:r>
              <w:rPr>
                <w:rFonts w:ascii="Garamond" w:hAnsi="Garamond" w:cs="TimesNewRoman"/>
                <w:iCs/>
                <w:sz w:val="24"/>
                <w:szCs w:val="24"/>
                <w:lang w:val="en-US" w:eastAsia="it-IT"/>
              </w:rPr>
              <w:t>Sacchi</w:t>
            </w:r>
            <w:proofErr w:type="spellEnd"/>
          </w:p>
        </w:tc>
        <w:tc>
          <w:tcPr>
            <w:tcW w:w="1320" w:type="pct"/>
            <w:tcBorders>
              <w:top w:val="single" w:sz="4" w:space="0" w:color="auto"/>
              <w:left w:val="single" w:sz="4" w:space="0" w:color="auto"/>
              <w:bottom w:val="single" w:sz="4" w:space="0" w:color="auto"/>
              <w:right w:val="single" w:sz="4" w:space="0" w:color="auto"/>
            </w:tcBorders>
            <w:hideMark/>
          </w:tcPr>
          <w:p w14:paraId="280B6807" w14:textId="77777777" w:rsidR="00686AF2" w:rsidRDefault="00686AF2">
            <w:pPr>
              <w:spacing w:line="240" w:lineRule="auto"/>
              <w:ind w:left="113"/>
              <w:jc w:val="both"/>
              <w:rPr>
                <w:rFonts w:ascii="Garamond" w:hAnsi="Garamond" w:cs="TimesNewRoman"/>
                <w:iCs/>
                <w:sz w:val="24"/>
                <w:szCs w:val="24"/>
                <w:lang w:val="en-US" w:eastAsia="it-IT"/>
              </w:rPr>
            </w:pPr>
            <w:r>
              <w:rPr>
                <w:rFonts w:ascii="Garamond" w:hAnsi="Garamond" w:cs="TimesNewRoman"/>
                <w:iCs/>
                <w:sz w:val="24"/>
                <w:szCs w:val="24"/>
                <w:lang w:val="en-US" w:eastAsia="it-IT"/>
              </w:rPr>
              <w:t>“Brain in Flux: Neurochemical Dynamics and Dysfunction”. NB: this is a joint activity organized in collaboration with the PhD program in Biotechnology and life sciences.</w:t>
            </w:r>
          </w:p>
        </w:tc>
        <w:tc>
          <w:tcPr>
            <w:tcW w:w="581" w:type="pct"/>
            <w:tcBorders>
              <w:top w:val="single" w:sz="4" w:space="0" w:color="auto"/>
              <w:left w:val="single" w:sz="4" w:space="0" w:color="auto"/>
              <w:bottom w:val="single" w:sz="4" w:space="0" w:color="auto"/>
              <w:right w:val="single" w:sz="4" w:space="0" w:color="auto"/>
            </w:tcBorders>
            <w:hideMark/>
          </w:tcPr>
          <w:p w14:paraId="58A2A876" w14:textId="77777777" w:rsidR="00686AF2" w:rsidRDefault="00686AF2">
            <w:pPr>
              <w:spacing w:line="240" w:lineRule="auto"/>
              <w:ind w:left="113"/>
              <w:jc w:val="both"/>
              <w:rPr>
                <w:rFonts w:ascii="Garamond" w:hAnsi="Garamond" w:cs="TimesNewRoman"/>
                <w:iCs/>
                <w:sz w:val="24"/>
                <w:szCs w:val="24"/>
                <w:lang w:val="en-US" w:eastAsia="it-IT"/>
              </w:rPr>
            </w:pPr>
            <w:r>
              <w:rPr>
                <w:rFonts w:ascii="Garamond" w:hAnsi="Garamond" w:cs="TimesNewRoman"/>
                <w:iCs/>
                <w:sz w:val="24"/>
                <w:szCs w:val="24"/>
                <w:lang w:val="en-US" w:eastAsia="it-IT"/>
              </w:rPr>
              <w:t>No</w:t>
            </w:r>
          </w:p>
        </w:tc>
        <w:tc>
          <w:tcPr>
            <w:tcW w:w="780" w:type="pct"/>
            <w:tcBorders>
              <w:top w:val="single" w:sz="4" w:space="0" w:color="auto"/>
              <w:left w:val="single" w:sz="4" w:space="0" w:color="auto"/>
              <w:bottom w:val="single" w:sz="4" w:space="0" w:color="auto"/>
              <w:right w:val="single" w:sz="4" w:space="0" w:color="auto"/>
            </w:tcBorders>
            <w:hideMark/>
          </w:tcPr>
          <w:p w14:paraId="7325A17D" w14:textId="77777777" w:rsidR="00686AF2" w:rsidRDefault="00686AF2">
            <w:pPr>
              <w:spacing w:line="240" w:lineRule="auto"/>
              <w:ind w:left="113"/>
              <w:jc w:val="both"/>
              <w:rPr>
                <w:rFonts w:ascii="Garamond" w:hAnsi="Garamond" w:cs="TimesNewRoman"/>
                <w:iCs/>
                <w:sz w:val="24"/>
                <w:szCs w:val="24"/>
                <w:lang w:val="en-US" w:eastAsia="it-IT"/>
              </w:rPr>
            </w:pPr>
            <w:r>
              <w:rPr>
                <w:rFonts w:ascii="Garamond" w:hAnsi="Garamond" w:cs="TimesNewRoman"/>
                <w:iCs/>
                <w:sz w:val="24"/>
                <w:szCs w:val="24"/>
                <w:lang w:val="en-US" w:eastAsia="it-IT"/>
              </w:rPr>
              <w:t>30 March 2026</w:t>
            </w:r>
          </w:p>
        </w:tc>
      </w:tr>
    </w:tbl>
    <w:p w14:paraId="77D073A4" w14:textId="77777777" w:rsidR="00686AF2" w:rsidRDefault="00686AF2" w:rsidP="00686AF2">
      <w:pPr>
        <w:spacing w:after="0" w:line="240" w:lineRule="auto"/>
        <w:ind w:left="360"/>
        <w:jc w:val="both"/>
        <w:rPr>
          <w:rFonts w:ascii="Garamond" w:hAnsi="Garamond" w:cs="TimesNewRoman"/>
          <w:iCs/>
          <w:sz w:val="24"/>
          <w:szCs w:val="24"/>
          <w:lang w:val="en-US"/>
        </w:rPr>
      </w:pPr>
    </w:p>
    <w:p w14:paraId="0989BAE1" w14:textId="77777777" w:rsidR="004E0562" w:rsidRDefault="004E0562"/>
    <w:sectPr w:rsidR="004E0562" w:rsidSect="00686AF2">
      <w:pgSz w:w="16838" w:h="11906" w:orient="landscape"/>
      <w:pgMar w:top="1134" w:right="141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AF2"/>
    <w:rsid w:val="004E0562"/>
    <w:rsid w:val="00686AF2"/>
    <w:rsid w:val="00A34E11"/>
    <w:rsid w:val="00CD24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772F6"/>
  <w15:chartTrackingRefBased/>
  <w15:docId w15:val="{DC43E9FE-196E-4341-B1C0-D36C956C5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86AF2"/>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686AF2"/>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29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1102</Characters>
  <Application>Microsoft Office Word</Application>
  <DocSecurity>0</DocSecurity>
  <Lines>9</Lines>
  <Paragraphs>2</Paragraphs>
  <ScaleCrop>false</ScaleCrop>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Demagistri Alberto</dc:creator>
  <cp:keywords/>
  <dc:description/>
  <cp:lastModifiedBy>Demagistri Alberto</cp:lastModifiedBy>
  <cp:revision>1</cp:revision>
  <dcterms:created xsi:type="dcterms:W3CDTF">2026-05-07T11:56:00Z</dcterms:created>
  <dcterms:modified xsi:type="dcterms:W3CDTF">2026-05-07T11:57:00Z</dcterms:modified>
</cp:coreProperties>
</file>