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c770285f402b92f954b72929f778e61e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47be1448fc5426b68358a03ef73782c0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1DADC-FE10-4177-9652-F517F7FB11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