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43A93E93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C93D23" w:rsidRPr="00C93D23">
        <w:rPr>
          <w:rFonts w:ascii="Garamond" w:hAnsi="Garamond" w:cs="Arial"/>
          <w:b/>
          <w:sz w:val="24"/>
          <w:szCs w:val="24"/>
        </w:rPr>
        <w:t>Fortificazione dei mangimi e interazioni con fisiologia, metabolismo e morfologia intestinale in specie ittiche di allevamento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3C2971">
        <w:rPr>
          <w:rFonts w:ascii="Garamond" w:hAnsi="Garamond" w:cs="Arial"/>
          <w:b/>
          <w:sz w:val="24"/>
          <w:szCs w:val="24"/>
        </w:rPr>
        <w:t>11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3C2971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3C2971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3C2971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3C2971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3C2971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3C2971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376DF534-E2E9-488D-B42B-F11A06AD1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17</cp:revision>
  <cp:lastPrinted>2016-05-31T14:57:00Z</cp:lastPrinted>
  <dcterms:created xsi:type="dcterms:W3CDTF">2023-12-21T10:35:00Z</dcterms:created>
  <dcterms:modified xsi:type="dcterms:W3CDTF">2025-09-19T11:11:00Z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