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27B4FF13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BB6167" w:rsidRPr="00BB6167">
        <w:rPr>
          <w:rFonts w:ascii="Garamond" w:hAnsi="Garamond" w:cs="Arial"/>
          <w:b/>
          <w:sz w:val="24"/>
          <w:szCs w:val="24"/>
        </w:rPr>
        <w:t>Applicazione di tecniche di intelligenza artificiale per l’analisi del microbiota intestinale in pesci alimentati con diete fortificate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CA36AE">
        <w:rPr>
          <w:rFonts w:ascii="Garamond" w:hAnsi="Garamond" w:cs="Arial"/>
          <w:b/>
          <w:sz w:val="24"/>
          <w:szCs w:val="24"/>
        </w:rPr>
        <w:t>10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CA36AE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CA36AE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CA36AE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CA36AE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CA36AE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CA36AE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A0D09"/>
    <w:rsid w:val="00CA36AE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9E5D4-FA33-44CB-A9C4-A18798B7B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16</cp:revision>
  <cp:lastPrinted>2016-05-31T14:57:00Z</cp:lastPrinted>
  <dcterms:created xsi:type="dcterms:W3CDTF">2023-12-21T10:35:00Z</dcterms:created>
  <dcterms:modified xsi:type="dcterms:W3CDTF">2025-09-19T11:09:00Z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