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EF23" w14:textId="77777777" w:rsidR="007D1A56" w:rsidRDefault="007D1A56" w:rsidP="007D1A56">
      <w:pPr>
        <w:rPr>
          <w:rFonts w:ascii="Garamond" w:hAnsi="Garamond"/>
        </w:rPr>
      </w:pPr>
    </w:p>
    <w:p w14:paraId="29567C58" w14:textId="77777777" w:rsidR="007D1A56" w:rsidRPr="00151D74" w:rsidRDefault="007D1A56" w:rsidP="007D1A56">
      <w:pPr>
        <w:jc w:val="center"/>
        <w:rPr>
          <w:rFonts w:ascii="Garamond" w:hAnsi="Garamond"/>
          <w:b/>
          <w:bCs/>
        </w:rPr>
      </w:pPr>
      <w:r w:rsidRPr="00151D74">
        <w:rPr>
          <w:rFonts w:ascii="Garamond" w:hAnsi="Garamond"/>
          <w:b/>
          <w:bCs/>
        </w:rPr>
        <w:t>Centro di Ateneo per la Formazione degli Insegnanti</w:t>
      </w:r>
    </w:p>
    <w:p w14:paraId="7ADECC33" w14:textId="4589AFF8" w:rsidR="007D1A56" w:rsidRDefault="007D1A56" w:rsidP="007D1A56">
      <w:pPr>
        <w:jc w:val="center"/>
        <w:rPr>
          <w:rFonts w:ascii="Garamond" w:hAnsi="Garamond"/>
          <w:b/>
          <w:bCs/>
        </w:rPr>
      </w:pPr>
    </w:p>
    <w:p w14:paraId="6FBB3AAD" w14:textId="77777777" w:rsidR="007D1A56" w:rsidRDefault="007D1A56" w:rsidP="007D1A56">
      <w:pPr>
        <w:jc w:val="center"/>
        <w:rPr>
          <w:rFonts w:ascii="Garamond" w:hAnsi="Garamond"/>
          <w:b/>
          <w:bCs/>
        </w:rPr>
      </w:pPr>
    </w:p>
    <w:p w14:paraId="7C2DEA9C" w14:textId="20F1A946" w:rsidR="007D1A56" w:rsidRDefault="007D1A56" w:rsidP="007D1A56">
      <w:pPr>
        <w:jc w:val="center"/>
        <w:rPr>
          <w:rFonts w:ascii="Garamond" w:hAnsi="Garamond"/>
          <w:b/>
          <w:bCs/>
        </w:rPr>
      </w:pPr>
      <w:r w:rsidRPr="007D1A56">
        <w:rPr>
          <w:rFonts w:ascii="Garamond" w:hAnsi="Garamond"/>
          <w:b/>
          <w:bCs/>
        </w:rPr>
        <w:t>PERCORSI UNIVERSITARI E ACCADEMICI DI FORMAZIONE INIZIALE DEI DOCENTI</w:t>
      </w:r>
    </w:p>
    <w:p w14:paraId="4768FB77" w14:textId="77777777" w:rsidR="007D1A56" w:rsidRDefault="007D1A56" w:rsidP="007D1A56">
      <w:pPr>
        <w:jc w:val="center"/>
        <w:rPr>
          <w:rFonts w:ascii="Garamond" w:hAnsi="Garamond"/>
          <w:b/>
          <w:bCs/>
        </w:rPr>
      </w:pPr>
    </w:p>
    <w:p w14:paraId="7FA02016" w14:textId="7F54FF9B" w:rsidR="007D1A56" w:rsidRPr="007D1A56" w:rsidRDefault="007D1A56" w:rsidP="007D1A56">
      <w:pPr>
        <w:jc w:val="center"/>
        <w:rPr>
          <w:rFonts w:ascii="Garamond" w:hAnsi="Garamond"/>
          <w:b/>
          <w:bCs/>
        </w:rPr>
      </w:pPr>
      <w:r w:rsidRPr="007D1A56">
        <w:rPr>
          <w:rFonts w:ascii="Garamond" w:hAnsi="Garamond"/>
          <w:b/>
          <w:bCs/>
        </w:rPr>
        <w:t>PROVA FINALE</w:t>
      </w:r>
    </w:p>
    <w:p w14:paraId="280E4700" w14:textId="77777777" w:rsidR="007D1A56" w:rsidRDefault="007D1A56" w:rsidP="007D1A56">
      <w:pPr>
        <w:rPr>
          <w:rFonts w:ascii="Garamond" w:hAnsi="Garamond"/>
        </w:rPr>
      </w:pPr>
    </w:p>
    <w:p w14:paraId="2A12EAC3" w14:textId="2183CDE3" w:rsidR="007D1A56" w:rsidRPr="007D1A56" w:rsidRDefault="007D1A56" w:rsidP="007D1A56">
      <w:pPr>
        <w:jc w:val="both"/>
        <w:rPr>
          <w:rFonts w:ascii="Garamond" w:hAnsi="Garamond"/>
        </w:rPr>
      </w:pPr>
      <w:r w:rsidRPr="007D1A56">
        <w:rPr>
          <w:rFonts w:ascii="Garamond" w:hAnsi="Garamond"/>
        </w:rPr>
        <w:t>Tutti i percorsi formazione insegnanti prevedono un esame finale abilitante</w:t>
      </w:r>
      <w:r>
        <w:rPr>
          <w:rFonts w:ascii="Garamond" w:hAnsi="Garamond"/>
        </w:rPr>
        <w:t>,</w:t>
      </w:r>
      <w:r w:rsidRPr="007D1A56">
        <w:rPr>
          <w:rFonts w:ascii="Garamond" w:hAnsi="Garamond"/>
        </w:rPr>
        <w:t> articolato in due prove: una prova scritta e una prova orale. Ciascuna prova viene valutata in decimi, la soglia minima per superare ciascuna prova è 7/10.</w:t>
      </w:r>
    </w:p>
    <w:p w14:paraId="32C51667" w14:textId="77777777" w:rsidR="007D1A56" w:rsidRPr="007D1A56" w:rsidRDefault="007D1A56" w:rsidP="007D1A56">
      <w:pPr>
        <w:jc w:val="both"/>
        <w:rPr>
          <w:rFonts w:ascii="Garamond" w:hAnsi="Garamond"/>
        </w:rPr>
      </w:pPr>
      <w:r w:rsidRPr="007D1A56">
        <w:rPr>
          <w:rFonts w:ascii="Garamond" w:hAnsi="Garamond"/>
        </w:rPr>
        <w:t xml:space="preserve">La prova scritta, </w:t>
      </w:r>
      <w:r w:rsidRPr="007D1A56">
        <w:rPr>
          <w:rFonts w:ascii="Garamond" w:hAnsi="Garamond"/>
          <w:u w:val="single"/>
        </w:rPr>
        <w:t>per tutti i corsisti</w:t>
      </w:r>
      <w:r w:rsidRPr="007D1A56">
        <w:rPr>
          <w:rFonts w:ascii="Garamond" w:hAnsi="Garamond"/>
        </w:rPr>
        <w:t xml:space="preserve">, consiste: </w:t>
      </w:r>
    </w:p>
    <w:p w14:paraId="4DF945E8" w14:textId="77777777" w:rsidR="007D1A56" w:rsidRPr="007D1A56" w:rsidRDefault="007D1A56" w:rsidP="007D1A56">
      <w:pPr>
        <w:numPr>
          <w:ilvl w:val="0"/>
          <w:numId w:val="1"/>
        </w:numPr>
        <w:jc w:val="both"/>
        <w:rPr>
          <w:rFonts w:ascii="Garamond" w:hAnsi="Garamond"/>
        </w:rPr>
      </w:pPr>
      <w:r w:rsidRPr="007D1A56">
        <w:rPr>
          <w:rFonts w:ascii="Garamond" w:hAnsi="Garamond"/>
        </w:rPr>
        <w:t xml:space="preserve">in un elaborato critico, della durata di un'ora, sull’esperienza di tirocinio diretto, se previsto nel proprio percorso (36, 60 CFU); </w:t>
      </w:r>
    </w:p>
    <w:p w14:paraId="6EFBC2F9" w14:textId="77777777" w:rsidR="007D1A56" w:rsidRPr="007D1A56" w:rsidRDefault="007D1A56" w:rsidP="007D1A56">
      <w:pPr>
        <w:numPr>
          <w:ilvl w:val="0"/>
          <w:numId w:val="1"/>
        </w:numPr>
        <w:jc w:val="both"/>
        <w:rPr>
          <w:rFonts w:ascii="Garamond" w:hAnsi="Garamond"/>
        </w:rPr>
      </w:pPr>
      <w:r w:rsidRPr="007D1A56">
        <w:rPr>
          <w:rFonts w:ascii="Garamond" w:hAnsi="Garamond"/>
        </w:rPr>
        <w:t>in un elaborato critico, della durata di un'ora, relativo alla propria esperienza professionale per coloro che non svolgono il tirocinio diretto.</w:t>
      </w:r>
    </w:p>
    <w:p w14:paraId="4B73C7A9" w14:textId="3AC255EA" w:rsidR="007D1A56" w:rsidRPr="007D1A56" w:rsidRDefault="007D1A56" w:rsidP="007D1A56">
      <w:pPr>
        <w:jc w:val="both"/>
        <w:rPr>
          <w:rFonts w:ascii="Garamond" w:hAnsi="Garamond"/>
        </w:rPr>
      </w:pPr>
      <w:r w:rsidRPr="007D1A56">
        <w:rPr>
          <w:rFonts w:ascii="Garamond" w:hAnsi="Garamond"/>
        </w:rPr>
        <w:t xml:space="preserve">In particolare, si chiede ai corsisti, di svolgere una riflessione critica sull’esperienza di docenza a partire dall’analisi degli eventi (casi) già descritti nel </w:t>
      </w:r>
      <w:proofErr w:type="spellStart"/>
      <w:r w:rsidRPr="007D1A56">
        <w:rPr>
          <w:rFonts w:ascii="Garamond" w:hAnsi="Garamond"/>
        </w:rPr>
        <w:t>Teacher</w:t>
      </w:r>
      <w:proofErr w:type="spellEnd"/>
      <w:r w:rsidRPr="007D1A56">
        <w:rPr>
          <w:rFonts w:ascii="Garamond" w:hAnsi="Garamond"/>
        </w:rPr>
        <w:t xml:space="preserve"> Portfolio. </w:t>
      </w:r>
      <w:r>
        <w:rPr>
          <w:rFonts w:ascii="Garamond" w:hAnsi="Garamond"/>
        </w:rPr>
        <w:t>La</w:t>
      </w:r>
      <w:r w:rsidRPr="007D1A56">
        <w:rPr>
          <w:rFonts w:ascii="Garamond" w:hAnsi="Garamond"/>
        </w:rPr>
        <w:t xml:space="preserve"> prova dovrà dimostrare la capacità di utilizzare criteri pedagogico-didattici e di didattica disciplinare per analizzare le attività connesse </w:t>
      </w:r>
      <w:r>
        <w:rPr>
          <w:rFonts w:ascii="Garamond" w:hAnsi="Garamond"/>
        </w:rPr>
        <w:t>con</w:t>
      </w:r>
      <w:r w:rsidRPr="007D1A56">
        <w:rPr>
          <w:rFonts w:ascii="Garamond" w:hAnsi="Garamond"/>
        </w:rPr>
        <w:t xml:space="preserve"> un’unità di apprendimento. </w:t>
      </w:r>
    </w:p>
    <w:p w14:paraId="33BF8C51" w14:textId="77777777" w:rsidR="007D1A56" w:rsidRPr="007D1A56" w:rsidRDefault="007D1A56" w:rsidP="007D1A56">
      <w:pPr>
        <w:jc w:val="both"/>
        <w:rPr>
          <w:rFonts w:ascii="Garamond" w:hAnsi="Garamond"/>
        </w:rPr>
      </w:pPr>
      <w:r w:rsidRPr="007D1A56">
        <w:rPr>
          <w:rFonts w:ascii="Garamond" w:hAnsi="Garamond"/>
        </w:rPr>
        <w:t>Il materiale (fogli e penne) per lo svolgimento della prova verrà consegnato in sede di esame dalla Commissione.</w:t>
      </w:r>
    </w:p>
    <w:p w14:paraId="5676C4CF" w14:textId="77777777" w:rsidR="007D1A56" w:rsidRPr="007D1A56" w:rsidRDefault="007D1A56" w:rsidP="007D1A56">
      <w:pPr>
        <w:jc w:val="both"/>
        <w:rPr>
          <w:rFonts w:ascii="Garamond" w:hAnsi="Garamond"/>
        </w:rPr>
      </w:pPr>
      <w:r w:rsidRPr="007D1A56">
        <w:rPr>
          <w:rFonts w:ascii="Garamond" w:hAnsi="Garamond"/>
        </w:rPr>
        <w:t> </w:t>
      </w:r>
    </w:p>
    <w:p w14:paraId="25691AAF" w14:textId="77777777" w:rsidR="007D1A56" w:rsidRDefault="007D1A56" w:rsidP="007D1A56">
      <w:pPr>
        <w:jc w:val="both"/>
        <w:rPr>
          <w:rFonts w:ascii="Garamond" w:hAnsi="Garamond"/>
        </w:rPr>
      </w:pPr>
      <w:r w:rsidRPr="007D1A56">
        <w:rPr>
          <w:rFonts w:ascii="Garamond" w:hAnsi="Garamond"/>
        </w:rPr>
        <w:t xml:space="preserve">Sono ammessi alla prova orale i candidati che abbiano ottenuto un voto uguale o superiore a 7/10 nella prova scritta. </w:t>
      </w:r>
    </w:p>
    <w:p w14:paraId="1E569921" w14:textId="77777777" w:rsidR="007D1A56" w:rsidRPr="007D1A56" w:rsidRDefault="007D1A56" w:rsidP="007D1A56">
      <w:pPr>
        <w:jc w:val="both"/>
        <w:rPr>
          <w:rFonts w:ascii="Garamond" w:hAnsi="Garamond"/>
        </w:rPr>
      </w:pPr>
    </w:p>
    <w:p w14:paraId="4C316B1D" w14:textId="17010B0E" w:rsidR="007D1A56" w:rsidRPr="007D1A56" w:rsidRDefault="007D1A56" w:rsidP="007D1A56">
      <w:pPr>
        <w:jc w:val="both"/>
        <w:rPr>
          <w:rFonts w:ascii="Garamond" w:hAnsi="Garamond"/>
        </w:rPr>
      </w:pPr>
      <w:r w:rsidRPr="007D1A56">
        <w:rPr>
          <w:rFonts w:ascii="Garamond" w:hAnsi="Garamond"/>
        </w:rPr>
        <w:t>La prova orale è una lezione simulata</w:t>
      </w:r>
      <w:r w:rsidR="00BE5C04">
        <w:rPr>
          <w:rFonts w:ascii="Garamond" w:hAnsi="Garamond"/>
        </w:rPr>
        <w:t xml:space="preserve"> della durata massima di 45’ (ex. Art. 9 DPCM del 4 agosto 2023)</w:t>
      </w:r>
      <w:r w:rsidRPr="007D1A56">
        <w:rPr>
          <w:rFonts w:ascii="Garamond" w:hAnsi="Garamond"/>
        </w:rPr>
        <w:t>, con argomento che verrà indicato dalla Commissione al termine della prova scritta, da presentare tenendo conto di un approccio inclusivo ed eventuale uso di tecnologie. La prova dovrà dimostrare la capacità di progettazione didattica per unità di apprendimento e di conduzione della lezione, per uno specifico gruppo-classe, relativa alla propria classe di concorso. Per la presentazione è a disposizione un computer con connessione internet.</w:t>
      </w:r>
    </w:p>
    <w:p w14:paraId="1EE71293" w14:textId="77777777" w:rsidR="007D1A56" w:rsidRPr="007D1A56" w:rsidRDefault="007D1A56" w:rsidP="007D1A56">
      <w:pPr>
        <w:jc w:val="both"/>
        <w:rPr>
          <w:rFonts w:ascii="Garamond" w:hAnsi="Garamond"/>
        </w:rPr>
      </w:pPr>
      <w:r w:rsidRPr="007D1A56">
        <w:rPr>
          <w:rFonts w:ascii="Garamond" w:hAnsi="Garamond"/>
        </w:rPr>
        <w:t>La valutazione di ciascuna prova è in decimi: ogni prova deve essere superata con almeno 7/10 e il voto finale è costituito dalla media aritmetica dei due punteggi.</w:t>
      </w:r>
    </w:p>
    <w:p w14:paraId="2A73AE04" w14:textId="77777777" w:rsidR="003E0804" w:rsidRPr="007D1A56" w:rsidRDefault="003E0804" w:rsidP="007D1A56"/>
    <w:sectPr w:rsidR="003E0804" w:rsidRPr="007D1A5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1D95" w14:textId="77777777" w:rsidR="00E81A6D" w:rsidRDefault="00E81A6D" w:rsidP="004045DB">
      <w:r>
        <w:separator/>
      </w:r>
    </w:p>
  </w:endnote>
  <w:endnote w:type="continuationSeparator" w:id="0">
    <w:p w14:paraId="220DF075" w14:textId="77777777" w:rsidR="00E81A6D" w:rsidRDefault="00E81A6D" w:rsidP="0040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C6CE" w14:textId="77777777" w:rsidR="00E81A6D" w:rsidRDefault="00E81A6D" w:rsidP="004045DB">
      <w:r>
        <w:separator/>
      </w:r>
    </w:p>
  </w:footnote>
  <w:footnote w:type="continuationSeparator" w:id="0">
    <w:p w14:paraId="5D5785FB" w14:textId="77777777" w:rsidR="00E81A6D" w:rsidRDefault="00E81A6D" w:rsidP="0040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07" w:type="pct"/>
      <w:tblInd w:w="-142" w:type="dxa"/>
      <w:tblLayout w:type="fixed"/>
      <w:tblLook w:val="04A0" w:firstRow="1" w:lastRow="0" w:firstColumn="1" w:lastColumn="0" w:noHBand="0" w:noVBand="1"/>
    </w:tblPr>
    <w:tblGrid>
      <w:gridCol w:w="1781"/>
      <w:gridCol w:w="4456"/>
      <w:gridCol w:w="4378"/>
    </w:tblGrid>
    <w:tr w:rsidR="004045DB" w:rsidRPr="00AC2201" w14:paraId="40FC3F4B" w14:textId="77777777" w:rsidTr="007D1A56">
      <w:trPr>
        <w:trHeight w:val="1150"/>
      </w:trPr>
      <w:tc>
        <w:tcPr>
          <w:tcW w:w="839" w:type="pct"/>
          <w:vAlign w:val="center"/>
        </w:tcPr>
        <w:p w14:paraId="7579C4CA" w14:textId="77777777" w:rsidR="004045DB" w:rsidRPr="00AC2201" w:rsidRDefault="004045DB" w:rsidP="004045DB">
          <w:pPr>
            <w:ind w:right="-109"/>
            <w:rPr>
              <w:rFonts w:ascii="Garamond" w:hAnsi="Garamond"/>
              <w:noProof/>
              <w:sz w:val="18"/>
              <w:szCs w:val="18"/>
            </w:rPr>
          </w:pPr>
          <w:r w:rsidRPr="00AC2201">
            <w:rPr>
              <w:noProof/>
            </w:rPr>
            <w:drawing>
              <wp:inline distT="0" distB="0" distL="0" distR="0" wp14:anchorId="2814EA34" wp14:editId="45698B15">
                <wp:extent cx="898525" cy="898525"/>
                <wp:effectExtent l="0" t="0" r="0" b="0"/>
                <wp:docPr id="1" name="Immagine 5"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tc>
      <w:tc>
        <w:tcPr>
          <w:tcW w:w="2099" w:type="pct"/>
          <w:tcBorders>
            <w:right w:val="single" w:sz="8" w:space="0" w:color="007161"/>
          </w:tcBorders>
          <w:vAlign w:val="center"/>
        </w:tcPr>
        <w:p w14:paraId="5B7F784F" w14:textId="77777777" w:rsidR="004045DB" w:rsidRPr="00AC2201" w:rsidRDefault="004045DB" w:rsidP="004045DB">
          <w:pPr>
            <w:ind w:left="-108"/>
            <w:rPr>
              <w:rFonts w:ascii="Garamond" w:hAnsi="Garamond"/>
              <w:noProof/>
              <w:sz w:val="18"/>
              <w:szCs w:val="18"/>
            </w:rPr>
          </w:pPr>
          <w:r w:rsidRPr="00AC2201">
            <w:rPr>
              <w:noProof/>
            </w:rPr>
            <mc:AlternateContent>
              <mc:Choice Requires="wps">
                <w:drawing>
                  <wp:anchor distT="0" distB="0" distL="114300" distR="114300" simplePos="0" relativeHeight="251659264" behindDoc="0" locked="0" layoutInCell="1" allowOverlap="1" wp14:anchorId="7D097553" wp14:editId="6EE6E30A">
                    <wp:simplePos x="0" y="0"/>
                    <wp:positionH relativeFrom="column">
                      <wp:posOffset>-67310</wp:posOffset>
                    </wp:positionH>
                    <wp:positionV relativeFrom="paragraph">
                      <wp:posOffset>161290</wp:posOffset>
                    </wp:positionV>
                    <wp:extent cx="2610485"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14:paraId="452C53CF" w14:textId="77777777" w:rsidR="004045DB" w:rsidRDefault="004045DB" w:rsidP="004045DB">
                                <w:pPr>
                                  <w:pStyle w:val="NormaleWeb"/>
                                  <w:spacing w:before="0" w:beforeAutospacing="0" w:after="200" w:afterAutospacing="0" w:line="276" w:lineRule="auto"/>
                                </w:pPr>
                                <w:r w:rsidRPr="001F2559">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97553" id="_x0000_t202" coordsize="21600,21600" o:spt="202" path="m,l,21600r21600,l21600,xe">
                    <v:stroke joinstyle="miter"/>
                    <v:path gradientshapeok="t" o:connecttype="rect"/>
                  </v:shapetype>
                  <v:shape id="Casella di testo 24" o:spid="_x0000_s1026" type="#_x0000_t202" style="position:absolute;left:0;text-align:left;margin-left:-5.3pt;margin-top:12.7pt;width:205.55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" filled="f" stroked="f">
                    <v:textbox inset="1mm,1mm,1mm,1mm">
                      <w:txbxContent>
                        <w:p w14:paraId="452C53CF" w14:textId="77777777" w:rsidR="004045DB" w:rsidRDefault="004045DB" w:rsidP="004045DB">
                          <w:pPr>
                            <w:pStyle w:val="NormaleWeb"/>
                            <w:spacing w:before="0" w:beforeAutospacing="0" w:after="200" w:afterAutospacing="0" w:line="276" w:lineRule="auto"/>
                          </w:pPr>
                          <w:r w:rsidRPr="001F2559">
                            <w:rPr>
                              <w:rFonts w:ascii="Garamond" w:eastAsia="Calibri" w:hAnsi="Garamond" w:cs="Calibri"/>
                              <w:b/>
                              <w:bCs/>
                              <w:color w:val="000000"/>
                              <w:kern w:val="24"/>
                              <w:sz w:val="30"/>
                              <w:szCs w:val="30"/>
                            </w:rPr>
                            <w:t>UNIVERSITÀ DEGLI STUDI DELL’INSUBRIA</w:t>
                          </w:r>
                        </w:p>
                      </w:txbxContent>
                    </v:textbox>
                  </v:shape>
                </w:pict>
              </mc:Fallback>
            </mc:AlternateContent>
          </w:r>
          <w:r w:rsidRPr="00AC2201">
            <w:rPr>
              <w:noProof/>
            </w:rPr>
            <mc:AlternateContent>
              <mc:Choice Requires="wps">
                <w:drawing>
                  <wp:anchor distT="4294967294" distB="4294967294" distL="114300" distR="114300" simplePos="0" relativeHeight="251660288" behindDoc="0" locked="0" layoutInCell="1" allowOverlap="1" wp14:anchorId="2AA0FA6F" wp14:editId="7CB43B47">
                    <wp:simplePos x="0" y="0"/>
                    <wp:positionH relativeFrom="column">
                      <wp:posOffset>-24130</wp:posOffset>
                    </wp:positionH>
                    <wp:positionV relativeFrom="paragraph">
                      <wp:posOffset>431799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noFill/>
                            <a:ln w="12700" cap="flat" cmpd="sng" algn="ctr">
                              <a:solidFill>
                                <a:srgbClr val="00716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830A8" id="Connettore 1 2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pt,34pt" to="197.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" strokecolor="#007161" strokeweight="1pt">
                    <v:stroke joinstyle="miter"/>
                    <o:lock v:ext="edit" shapetype="f"/>
                  </v:line>
                </w:pict>
              </mc:Fallback>
            </mc:AlternateContent>
          </w:r>
        </w:p>
      </w:tc>
      <w:tc>
        <w:tcPr>
          <w:tcW w:w="2062" w:type="pct"/>
          <w:tcBorders>
            <w:left w:val="single" w:sz="8" w:space="0" w:color="007161"/>
          </w:tcBorders>
          <w:vAlign w:val="center"/>
        </w:tcPr>
        <w:p w14:paraId="44376383" w14:textId="77777777" w:rsidR="004045DB" w:rsidRPr="00AC2201" w:rsidRDefault="004045DB" w:rsidP="004045DB">
          <w:pPr>
            <w:rPr>
              <w:rFonts w:ascii="Garamond" w:hAnsi="Garamond"/>
              <w:b/>
              <w:caps/>
              <w:sz w:val="18"/>
              <w:szCs w:val="18"/>
            </w:rPr>
          </w:pPr>
          <w:r w:rsidRPr="00AC2201">
            <w:rPr>
              <w:rFonts w:ascii="Garamond" w:hAnsi="Garamond"/>
              <w:b/>
              <w:caps/>
              <w:sz w:val="18"/>
              <w:szCs w:val="18"/>
            </w:rPr>
            <w:t>AREA FORMAZIONE, RICERCA e trasferimento tecnologico</w:t>
          </w:r>
        </w:p>
        <w:p w14:paraId="1BF17940" w14:textId="77777777" w:rsidR="004045DB" w:rsidRPr="00AC2201" w:rsidRDefault="004045DB" w:rsidP="004045DB">
          <w:pPr>
            <w:rPr>
              <w:rFonts w:ascii="Garamond" w:hAnsi="Garamond" w:cs="Calibri"/>
              <w:b/>
              <w:sz w:val="18"/>
              <w:szCs w:val="18"/>
            </w:rPr>
          </w:pPr>
          <w:r w:rsidRPr="00AC2201">
            <w:rPr>
              <w:rFonts w:ascii="Garamond" w:hAnsi="Garamond" w:cs="Calibri"/>
              <w:b/>
              <w:sz w:val="18"/>
              <w:szCs w:val="18"/>
            </w:rPr>
            <w:t>Ufficio Coordinamento didattico e Dottorati di ricerca</w:t>
          </w:r>
        </w:p>
        <w:p w14:paraId="19C54BDE" w14:textId="77777777" w:rsidR="004045DB" w:rsidRPr="00AC2201" w:rsidRDefault="004045DB" w:rsidP="004045DB">
          <w:pPr>
            <w:rPr>
              <w:rFonts w:ascii="Garamond" w:hAnsi="Garamond" w:cs="Calibri"/>
              <w:b/>
              <w:sz w:val="18"/>
              <w:szCs w:val="18"/>
            </w:rPr>
          </w:pPr>
        </w:p>
      </w:tc>
    </w:tr>
  </w:tbl>
  <w:p w14:paraId="6F5A1AFF" w14:textId="77777777" w:rsidR="004045DB" w:rsidRDefault="004045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D1E35"/>
    <w:multiLevelType w:val="multilevel"/>
    <w:tmpl w:val="12BE7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3249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C"/>
    <w:rsid w:val="001F37A7"/>
    <w:rsid w:val="002836BA"/>
    <w:rsid w:val="003E0804"/>
    <w:rsid w:val="004045DB"/>
    <w:rsid w:val="004A10F4"/>
    <w:rsid w:val="00597A76"/>
    <w:rsid w:val="00721D54"/>
    <w:rsid w:val="007D1A56"/>
    <w:rsid w:val="00850B0D"/>
    <w:rsid w:val="00BE5C04"/>
    <w:rsid w:val="00CF64BC"/>
    <w:rsid w:val="00E81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B5C63"/>
  <w15:chartTrackingRefBased/>
  <w15:docId w15:val="{8A353F53-2878-4DF8-8E63-66B2333E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64BC"/>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CF64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CF64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CF64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CF64B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CF64B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CF64B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CF64B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CF64B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CF64B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64B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64B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64B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64B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64B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64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64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64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64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64B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CF64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64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CF64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64B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CF64BC"/>
    <w:rPr>
      <w:i/>
      <w:iCs/>
      <w:color w:val="404040" w:themeColor="text1" w:themeTint="BF"/>
    </w:rPr>
  </w:style>
  <w:style w:type="paragraph" w:styleId="Paragrafoelenco">
    <w:name w:val="List Paragraph"/>
    <w:basedOn w:val="Normale"/>
    <w:uiPriority w:val="34"/>
    <w:qFormat/>
    <w:rsid w:val="00CF64B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CF64BC"/>
    <w:rPr>
      <w:i/>
      <w:iCs/>
      <w:color w:val="0F4761" w:themeColor="accent1" w:themeShade="BF"/>
    </w:rPr>
  </w:style>
  <w:style w:type="paragraph" w:styleId="Citazioneintensa">
    <w:name w:val="Intense Quote"/>
    <w:basedOn w:val="Normale"/>
    <w:next w:val="Normale"/>
    <w:link w:val="CitazioneintensaCarattere"/>
    <w:uiPriority w:val="30"/>
    <w:qFormat/>
    <w:rsid w:val="00CF64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CF64BC"/>
    <w:rPr>
      <w:i/>
      <w:iCs/>
      <w:color w:val="0F4761" w:themeColor="accent1" w:themeShade="BF"/>
    </w:rPr>
  </w:style>
  <w:style w:type="character" w:styleId="Riferimentointenso">
    <w:name w:val="Intense Reference"/>
    <w:basedOn w:val="Carpredefinitoparagrafo"/>
    <w:uiPriority w:val="32"/>
    <w:qFormat/>
    <w:rsid w:val="00CF64BC"/>
    <w:rPr>
      <w:b/>
      <w:bCs/>
      <w:smallCaps/>
      <w:color w:val="0F4761" w:themeColor="accent1" w:themeShade="BF"/>
      <w:spacing w:val="5"/>
    </w:rPr>
  </w:style>
  <w:style w:type="paragraph" w:styleId="Intestazione">
    <w:name w:val="header"/>
    <w:basedOn w:val="Normale"/>
    <w:link w:val="IntestazioneCarattere"/>
    <w:uiPriority w:val="99"/>
    <w:unhideWhenUsed/>
    <w:rsid w:val="004045DB"/>
    <w:pPr>
      <w:tabs>
        <w:tab w:val="center" w:pos="4819"/>
        <w:tab w:val="right" w:pos="9638"/>
      </w:tabs>
    </w:pPr>
  </w:style>
  <w:style w:type="character" w:customStyle="1" w:styleId="IntestazioneCarattere">
    <w:name w:val="Intestazione Carattere"/>
    <w:basedOn w:val="Carpredefinitoparagrafo"/>
    <w:link w:val="Intestazione"/>
    <w:uiPriority w:val="99"/>
    <w:rsid w:val="004045DB"/>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4045DB"/>
    <w:pPr>
      <w:tabs>
        <w:tab w:val="center" w:pos="4819"/>
        <w:tab w:val="right" w:pos="9638"/>
      </w:tabs>
    </w:pPr>
  </w:style>
  <w:style w:type="character" w:customStyle="1" w:styleId="PidipaginaCarattere">
    <w:name w:val="Piè di pagina Carattere"/>
    <w:basedOn w:val="Carpredefinitoparagrafo"/>
    <w:link w:val="Pidipagina"/>
    <w:uiPriority w:val="99"/>
    <w:rsid w:val="004045DB"/>
    <w:rPr>
      <w:rFonts w:ascii="Times New Roman" w:eastAsia="Times New Roman" w:hAnsi="Times New Roman" w:cs="Times New Roman"/>
      <w:kern w:val="0"/>
      <w:lang w:eastAsia="it-IT"/>
      <w14:ligatures w14:val="none"/>
    </w:rPr>
  </w:style>
  <w:style w:type="paragraph" w:styleId="NormaleWeb">
    <w:name w:val="Normal (Web)"/>
    <w:basedOn w:val="Normale"/>
    <w:uiPriority w:val="99"/>
    <w:unhideWhenUsed/>
    <w:rsid w:val="004045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5006">
      <w:bodyDiv w:val="1"/>
      <w:marLeft w:val="0"/>
      <w:marRight w:val="0"/>
      <w:marTop w:val="0"/>
      <w:marBottom w:val="0"/>
      <w:divBdr>
        <w:top w:val="none" w:sz="0" w:space="0" w:color="auto"/>
        <w:left w:val="none" w:sz="0" w:space="0" w:color="auto"/>
        <w:bottom w:val="none" w:sz="0" w:space="0" w:color="auto"/>
        <w:right w:val="none" w:sz="0" w:space="0" w:color="auto"/>
      </w:divBdr>
    </w:div>
    <w:div w:id="18222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Trovò Elisa</dc:creator>
  <cp:keywords/>
  <dc:description/>
  <cp:lastModifiedBy>Trovò Elisa</cp:lastModifiedBy>
  <cp:revision>2</cp:revision>
  <dcterms:created xsi:type="dcterms:W3CDTF">2025-06-16T09:44:00Z</dcterms:created>
  <dcterms:modified xsi:type="dcterms:W3CDTF">2025-06-16T09:44:00Z</dcterms:modified>
</cp:coreProperties>
</file>