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850" w:type="pct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629"/>
        <w:gridCol w:w="4186"/>
      </w:tblGrid>
      <w:tr>
        <w:trPr>
          <w:trHeight w:val="1150" w:hRule="atLeast"/>
        </w:trPr>
        <w:tc>
          <w:tcPr>
            <w:tcW w:w="1629" w:type="dxa"/>
            <w:tcBorders/>
            <w:shd w:fill="auto" w:val="clear"/>
            <w:vAlign w:val="center"/>
          </w:tcPr>
          <w:p>
            <w:pPr>
              <w:pStyle w:val="Normal"/>
              <w:ind w:right="-109" w:hanging="0"/>
              <w:rPr>
                <w:rFonts w:ascii="Garamond" w:hAnsi="Garamond" w:eastAsia="Calibri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898525" cy="898525"/>
                  <wp:effectExtent l="0" t="0" r="0" b="0"/>
                  <wp:docPr id="1" name="Immagine 1" descr="LOGO-ATENEO-FONDO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-ATENEO-FONDO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/>
            <w:shd w:fill="auto" w:val="clear"/>
            <w:vAlign w:val="center"/>
          </w:tcPr>
          <w:p>
            <w:pPr>
              <w:pStyle w:val="Normal"/>
              <w:ind w:left="-108" w:hanging="0"/>
              <w:rPr>
                <w:rFonts w:ascii="Garamond" w:hAnsi="Garamond" w:eastAsia="Calibri"/>
                <w:sz w:val="18"/>
                <w:szCs w:val="18"/>
              </w:rPr>
            </w:pPr>
            <w:r>
              <w:rPr>
                <w:rFonts w:eastAsia="Calibri" w:ascii="Garamond" w:hAnsi="Garamond"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2614295" cy="557530"/>
                      <wp:effectExtent l="0" t="0" r="0" b="0"/>
                      <wp:wrapNone/>
                      <wp:docPr id="2" name="Casella di testo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3600" cy="5569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lineRule="auto" w:line="276" w:beforeAutospacing="0" w:before="0" w:afterAutospacing="0" w:after="200"/>
                                    <w:rPr/>
                                  </w:pPr>
                                  <w:r>
                                    <w:rPr>
                                      <w:rFonts w:eastAsia="Calibri" w:cs="Calibri" w:ascii="Garamond" w:hAnsi="Garamond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UNIVERSITÀ DEGLI STUDI DELL’INSUBRIA</w:t>
                                  </w:r>
                                </w:p>
                              </w:txbxContent>
                            </wps:txbx>
                            <wps:bodyPr lIns="36360" rIns="36360" tIns="36360" bIns="363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4" stroked="f" style="position:absolute;margin-left:-4.4pt;margin-top:2.5pt;width:205.75pt;height:43.8pt">
                      <w10:wrap type="square"/>
                      <v:fill o:detectmouseclick="t" on="false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lineRule="auto" w:line="276" w:beforeAutospacing="0" w:before="0" w:afterAutospacing="0" w:after="200"/>
                              <w:rPr/>
                            </w:pPr>
                            <w:r>
                              <w:rPr>
                                <w:rFonts w:eastAsia="Calibri" w:cs="Calibri" w:ascii="Garamond" w:hAnsi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UNIVERSITÀ DEGLI STUDI DELL’INSUBRIA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298450</wp:posOffset>
                      </wp:positionV>
                      <wp:extent cx="2534285" cy="1270"/>
                      <wp:effectExtent l="0" t="0" r="22225" b="19050"/>
                      <wp:wrapNone/>
                      <wp:docPr id="4" name="Connettore 1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8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716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55pt,23.5pt" to="197.9pt,23.5pt" ID="Connettore 1 25" stroked="t" style="position:absolute">
                      <v:stroke color="#007161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>
      <w:pPr>
        <w:pStyle w:val="Heading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Heading2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CORSO DI LAUREA MAGISTRALE IN FISICA</w:t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Cs w:val="24"/>
        </w:rPr>
        <w:t>PERCORSO ASTROFISICA /  DATA SCIENCE FOR ASTROPHYSICS</w:t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Cs w:val="24"/>
        </w:rPr>
        <w:t>per gli studenti immatricolati nell’A.A. 2022/23</w:t>
      </w:r>
    </w:p>
    <w:p>
      <w:pPr>
        <w:pStyle w:val="Normal"/>
        <w:jc w:val="center"/>
        <w:rPr>
          <w:rFonts w:ascii="Garamond" w:hAnsi="Garamond"/>
          <w:b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</w:r>
    </w:p>
    <w:tbl>
      <w:tblPr>
        <w:tblW w:w="9648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72"/>
        <w:gridCol w:w="2060"/>
        <w:gridCol w:w="1716"/>
      </w:tblGrid>
      <w:tr>
        <w:trPr/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Cognome e Nome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Matr.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Anno di corso 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  <w:tr>
        <w:trPr/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3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Cell/Tel</w:t>
            </w:r>
          </w:p>
        </w:tc>
      </w:tr>
    </w:tbl>
    <w:p>
      <w:pPr>
        <w:pStyle w:val="Normal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</w:r>
    </w:p>
    <w:p>
      <w:pPr>
        <w:pStyle w:val="Normal"/>
        <w:ind w:firstLine="284"/>
        <w:rPr/>
      </w:pPr>
      <w:r>
        <w:rPr>
          <w:rFonts w:ascii="Garamond" w:hAnsi="Garamond"/>
          <w:b/>
          <w:bCs/>
          <w:szCs w:val="24"/>
        </w:rPr>
        <w:t>PIANO STUDI A.A. 202</w:t>
      </w:r>
      <w:r>
        <w:rPr>
          <w:rFonts w:ascii="Garamond" w:hAnsi="Garamond"/>
          <w:b/>
          <w:bCs/>
          <w:szCs w:val="24"/>
        </w:rPr>
        <w:t>2</w:t>
      </w:r>
      <w:r>
        <w:rPr>
          <w:rFonts w:ascii="Garamond" w:hAnsi="Garamond"/>
          <w:b/>
          <w:bCs/>
          <w:szCs w:val="24"/>
        </w:rPr>
        <w:t>/202</w:t>
      </w:r>
      <w:r>
        <w:rPr>
          <w:rFonts w:ascii="Garamond" w:hAnsi="Garamond"/>
          <w:b/>
          <w:bCs/>
          <w:szCs w:val="24"/>
        </w:rPr>
        <w:t>3</w:t>
      </w:r>
    </w:p>
    <w:p>
      <w:pPr>
        <w:pStyle w:val="Heading7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</w:r>
    </w:p>
    <w:p>
      <w:pPr>
        <w:pStyle w:val="Heading7"/>
        <w:ind w:hanging="0"/>
        <w:rPr/>
      </w:pPr>
      <w:r>
        <w:rPr>
          <w:rFonts w:ascii="Garamond" w:hAnsi="Garamond"/>
          <w:szCs w:val="24"/>
        </w:rPr>
        <w:t xml:space="preserve">     </w:t>
      </w:r>
      <w:r>
        <w:rPr>
          <w:rFonts w:ascii="Garamond" w:hAnsi="Garamond"/>
          <w:szCs w:val="24"/>
        </w:rPr>
        <w:t xml:space="preserve">PRIMO ANNO - 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5 esami caratterizzanti (30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 scelta libera  (6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affine/integrativo (6 CFU)</w:t>
      </w:r>
    </w:p>
    <w:p>
      <w:pPr>
        <w:pStyle w:val="Heading7"/>
        <w:numPr>
          <w:ilvl w:val="0"/>
          <w:numId w:val="0"/>
        </w:numPr>
        <w:ind w:left="720"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7"/>
        <w:keepNext w:val="true"/>
        <w:widowControl/>
        <w:numPr>
          <w:ilvl w:val="0"/>
          <w:numId w:val="0"/>
        </w:numPr>
        <w:bidi w:val="0"/>
        <w:spacing w:lineRule="auto" w:line="240" w:before="0" w:after="0"/>
        <w:ind w:left="269" w:right="0" w:hanging="0"/>
        <w:jc w:val="both"/>
        <w:outlineLvl w:val="6"/>
        <w:rPr>
          <w:highlight w:val="yellow"/>
        </w:rPr>
      </w:pPr>
      <w:r>
        <w:rPr>
          <w:rFonts w:ascii="Garamond" w:hAnsi="Garamond"/>
          <w:szCs w:val="24"/>
          <w:highlight w:val="yellow"/>
        </w:rPr>
        <w:t>Il numero di crediti indicato in parentesi per ognuno degli ambiti deve essere raggiunto sommando gli esami del primo e del secondo anno.</w:t>
      </w:r>
    </w:p>
    <w:p>
      <w:pPr>
        <w:pStyle w:val="Heading7"/>
        <w:ind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Indicare gli insegnamenti caratterizzanti a scelta per i seguenti ambiti: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4"/>
        <w:gridCol w:w="7814"/>
        <w:gridCol w:w="2"/>
        <w:gridCol w:w="965"/>
        <w:gridCol w:w="2"/>
        <w:gridCol w:w="456"/>
      </w:tblGrid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“Sperimentale applicativo” (6-12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Non-Linear Optics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Scripting And Programming Laboratory For Data Analysis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Advanced Experimental and Data Analysis Techniques in Particle and Nuclear 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“Teorico e dei Fondamenti della Fisica” (6-12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General Relativity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Statistical Physics II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“Microfisico e della Struttura della Materia” (6-12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Solid State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  <w:highlight w:val="yellow"/>
              </w:rPr>
            </w:pPr>
            <w:r>
              <w:rPr>
                <w:rFonts w:ascii="Garamond" w:hAnsi="Garamond"/>
                <w:szCs w:val="24"/>
                <w:highlight w:val="yellow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3">
              <w:r>
                <w:rPr>
                  <w:rStyle w:val="InternetLink"/>
                  <w:rFonts w:cs="Garamond" w:ascii="Garamond" w:hAnsi="Garamond"/>
                  <w:bCs/>
                  <w:color w:val="000000" w:themeColor="text1"/>
                  <w:sz w:val="24"/>
                  <w:szCs w:val="24"/>
                  <w:u w:val="none"/>
                </w:rPr>
                <w:t>Radiation and Detectors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Collective Properties of Condensed Matter Systems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“Astrofisico” (12-24 CFU)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 xml:space="preserve">Elements of Astrophysics 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Introduction to cosmology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Computational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Artificial Intelligence for Astrophysical Problems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>
      <w:pPr>
        <w:pStyle w:val="Normal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Indicare un insegnamento affine e integrativo a scelta: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5"/>
        <w:gridCol w:w="7250"/>
        <w:gridCol w:w="4"/>
        <w:gridCol w:w="1555"/>
        <w:gridCol w:w="4"/>
        <w:gridCol w:w="425"/>
      </w:tblGrid>
      <w:tr>
        <w:trPr>
          <w:trHeight w:val="330" w:hRule="atLeast"/>
        </w:trPr>
        <w:tc>
          <w:tcPr>
            <w:tcW w:w="7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  <w:b/>
                <w:b/>
                <w:i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Corsi Affini e Integrativi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4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Detection And Characterization Of Optical States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 xml:space="preserve"> Laboratory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5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6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Applied Electronics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ING-INF/01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7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Aspects Of Chemical, Biological, Radiological And Nuclear Security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FIS/07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8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L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aboratory of biophysics and photopharmacology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FIS/07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9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MAT/07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0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Numerical Solution of PDE’s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MAT/08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color w:val="000000"/>
                <w:sz w:val="24"/>
                <w:szCs w:val="24"/>
                <w:u w:val="none"/>
              </w:rPr>
              <w:t>Computational Chemical Physics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</w:tbl>
    <w:p>
      <w:pPr>
        <w:pStyle w:val="Normal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spacing w:before="120" w:after="0"/>
        <w:rPr/>
      </w:pPr>
      <w:r>
        <w:rPr>
          <w:rFonts w:ascii="Garamond" w:hAnsi="Garamond"/>
          <w:szCs w:val="24"/>
        </w:rPr>
        <w:t xml:space="preserve">Indicare una attività a scelta tra gli insegnamenti attivati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31"/>
        <w:gridCol w:w="8335"/>
      </w:tblGrid>
      <w:tr>
        <w:trPr>
          <w:trHeight w:val="318" w:hRule="atLeast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sz w:val="16"/>
          <w:szCs w:val="16"/>
          <w:lang w:val="en-US"/>
        </w:rPr>
      </w:pPr>
      <w:r>
        <w:rPr>
          <w:rFonts w:ascii="Garamond" w:hAnsi="Garamond"/>
          <w:sz w:val="16"/>
          <w:szCs w:val="16"/>
          <w:lang w:val="en-US"/>
        </w:rPr>
      </w:r>
    </w:p>
    <w:p>
      <w:pPr>
        <w:pStyle w:val="Normal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</w:r>
    </w:p>
    <w:p>
      <w:pPr>
        <w:pStyle w:val="Heading7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7"/>
        <w:ind w:hanging="0"/>
        <w:rPr/>
      </w:pPr>
      <w:r>
        <w:rPr>
          <w:rFonts w:ascii="Garamond" w:hAnsi="Garamond"/>
          <w:szCs w:val="24"/>
        </w:rPr>
        <w:t xml:space="preserve">SECONDO ANNO 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tanti esami caratterizzanti quanti servono per arrivare a 42CFU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 scelta libera  (6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affine/integrativo (6 CFU)</w:t>
      </w:r>
    </w:p>
    <w:p>
      <w:pPr>
        <w:pStyle w:val="Heading7"/>
        <w:ind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Indicare gli insegnamenti caratterizzanti a scelta per i seguenti ambiti: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4"/>
        <w:gridCol w:w="7814"/>
        <w:gridCol w:w="2"/>
        <w:gridCol w:w="965"/>
        <w:gridCol w:w="2"/>
        <w:gridCol w:w="456"/>
      </w:tblGrid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“Sperimentale applicativo” (6-12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Non-Linear Optics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Scripting And Programming Laboratory For Data Analysis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Advanced Experimental and Data Analysis Techniques in Particle and Nuclear 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“Teorico e dei Fondamenti della Fisica” (6-12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General Relativity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bookmarkStart w:id="1" w:name="_GoBack1"/>
            <w:bookmarkEnd w:id="1"/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Physics of Complex Systems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“Microfisico e della Struttura della Materia” (6-12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Solid State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  <w:highlight w:val="yellow"/>
              </w:rPr>
            </w:pPr>
            <w:r>
              <w:rPr>
                <w:rFonts w:ascii="Garamond" w:hAnsi="Garamond"/>
                <w:szCs w:val="24"/>
                <w:highlight w:val="yellow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11">
              <w:r>
                <w:rPr>
                  <w:rStyle w:val="InternetLink"/>
                  <w:rFonts w:cs="Garamond" w:ascii="Garamond" w:hAnsi="Garamond"/>
                  <w:bCs/>
                  <w:color w:val="000000" w:themeColor="text1"/>
                  <w:sz w:val="24"/>
                  <w:szCs w:val="24"/>
                  <w:u w:val="none"/>
                </w:rPr>
                <w:t>Radiation and Detectors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Collective Properties of Condensed Matter Systems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“Astrofisico” (12-24 CFU)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 xml:space="preserve">Elements of Astrophysics 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Introduction to cosmology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Computational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Artificial Intelligence for Astrophysical Problems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>
      <w:pPr>
        <w:pStyle w:val="Normal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Indicare un insegnamento affine e integrativo a scelta: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5"/>
        <w:gridCol w:w="7250"/>
        <w:gridCol w:w="4"/>
        <w:gridCol w:w="1555"/>
        <w:gridCol w:w="4"/>
        <w:gridCol w:w="425"/>
      </w:tblGrid>
      <w:tr>
        <w:trPr>
          <w:trHeight w:val="330" w:hRule="atLeast"/>
        </w:trPr>
        <w:tc>
          <w:tcPr>
            <w:tcW w:w="7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Corsi Affini e Integrativi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2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Detection And Characterization of Optical States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 xml:space="preserve"> Laboratory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Garamond"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3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4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Applied Electronics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ING-INF/01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5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L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aboratory of biophysics and photopharmacology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FIS/07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INF/01</w:t>
            </w:r>
          </w:p>
        </w:tc>
        <w:tc>
          <w:tcPr>
            <w:tcW w:w="42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6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MAT/07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7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Numerical Solution of PDE’s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MAT/08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color w:val="000000"/>
                <w:sz w:val="24"/>
                <w:szCs w:val="24"/>
                <w:u w:val="none"/>
              </w:rPr>
              <w:t>Computational Chemical Physics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Models for Biological Systems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INF/01</w:t>
            </w:r>
          </w:p>
        </w:tc>
        <w:tc>
          <w:tcPr>
            <w:tcW w:w="42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</w:tbl>
    <w:p>
      <w:pPr>
        <w:pStyle w:val="Normal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spacing w:before="120" w:after="0"/>
        <w:rPr/>
      </w:pPr>
      <w:r>
        <w:rPr>
          <w:rFonts w:ascii="Garamond" w:hAnsi="Garamond"/>
          <w:szCs w:val="24"/>
        </w:rPr>
        <w:t xml:space="preserve">Indicare una attività a scelta tra gli insegnamenti attivati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31"/>
        <w:gridCol w:w="8335"/>
      </w:tblGrid>
      <w:tr>
        <w:trPr>
          <w:trHeight w:val="318" w:hRule="atLeast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</w:tbl>
    <w:p>
      <w:pPr>
        <w:pStyle w:val="Normal"/>
        <w:spacing w:before="120" w:after="0"/>
        <w:jc w:val="center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Heading3"/>
        <w:spacing w:before="120" w:after="0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Heading3"/>
        <w:spacing w:before="120" w:after="0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Heading3"/>
        <w:spacing w:before="120" w:after="0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Normal"/>
        <w:tabs>
          <w:tab w:val="clear" w:pos="708"/>
          <w:tab w:val="left" w:pos="9639" w:leader="dot"/>
        </w:tabs>
        <w:spacing w:lineRule="auto" w:line="360"/>
        <w:ind w:left="567" w:right="565" w:hanging="0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Attività obbligatorie</w:t>
      </w:r>
    </w:p>
    <w:tbl>
      <w:tblPr>
        <w:tblW w:w="953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33"/>
        <w:gridCol w:w="8502"/>
      </w:tblGrid>
      <w:tr>
        <w:trPr>
          <w:trHeight w:val="318" w:hRule="atLeast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6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Tirocinio</w:t>
            </w:r>
          </w:p>
        </w:tc>
      </w:tr>
      <w:tr>
        <w:trPr>
          <w:trHeight w:val="318" w:hRule="atLeast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48</w:t>
            </w:r>
          </w:p>
        </w:tc>
        <w:tc>
          <w:tcPr>
            <w:tcW w:w="8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Prova Finale</w:t>
            </w:r>
          </w:p>
        </w:tc>
      </w:tr>
    </w:tbl>
    <w:p>
      <w:pPr>
        <w:pStyle w:val="Normal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clear" w:pos="708"/>
          <w:tab w:val="left" w:pos="2977" w:leader="dot"/>
          <w:tab w:val="left" w:pos="4536" w:leader="none"/>
          <w:tab w:val="left" w:pos="10206" w:leader="dot"/>
        </w:tabs>
        <w:spacing w:lineRule="auto" w:line="360" w:before="24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Como, </w:t>
        <w:tab/>
        <w:tab/>
        <w:t>FIRMA …………………………………………………</w:t>
      </w:r>
    </w:p>
    <w:p>
      <w:pPr>
        <w:pStyle w:val="Normal"/>
        <w:tabs>
          <w:tab w:val="clear" w:pos="708"/>
          <w:tab w:val="left" w:pos="4820" w:leader="dot"/>
          <w:tab w:val="left" w:pos="5670" w:leader="none"/>
          <w:tab w:val="left" w:pos="10206" w:leader="dot"/>
        </w:tabs>
        <w:spacing w:lineRule="auto" w:line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clear" w:pos="708"/>
          <w:tab w:val="left" w:pos="4820" w:leader="dot"/>
          <w:tab w:val="left" w:pos="5670" w:leader="none"/>
          <w:tab w:val="left" w:pos="10206" w:leader="dot"/>
        </w:tabs>
        <w:spacing w:lineRule="auto" w:line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Approvato nella seduta del CCD del </w:t>
        <w:tab/>
        <w:tab/>
      </w:r>
    </w:p>
    <w:p>
      <w:pPr>
        <w:pStyle w:val="Normal"/>
        <w:tabs>
          <w:tab w:val="clear" w:pos="708"/>
          <w:tab w:val="left" w:pos="4820" w:leader="dot"/>
          <w:tab w:val="left" w:pos="5670" w:leader="none"/>
          <w:tab w:val="left" w:pos="10206" w:leader="dot"/>
        </w:tabs>
        <w:spacing w:lineRule="auto" w:line="360"/>
        <w:rPr/>
      </w:pPr>
      <w:r>
        <w:rPr>
          <w:rFonts w:ascii="Garamond" w:hAnsi="Garamond"/>
          <w:szCs w:val="24"/>
        </w:rPr>
        <w:t xml:space="preserve">IL PRESIDENTE </w:t>
        <w:tab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15a2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en-US" w:bidi="ar-SA"/>
    </w:rPr>
  </w:style>
  <w:style w:type="paragraph" w:styleId="Heading2">
    <w:name w:val="Heading 2"/>
    <w:basedOn w:val="Normal"/>
    <w:link w:val="Titolo2Carattere"/>
    <w:qFormat/>
    <w:rsid w:val="002715a2"/>
    <w:pPr>
      <w:keepNext w:val="true"/>
      <w:jc w:val="center"/>
      <w:outlineLvl w:val="1"/>
    </w:pPr>
    <w:rPr>
      <w:b/>
      <w:sz w:val="40"/>
    </w:rPr>
  </w:style>
  <w:style w:type="paragraph" w:styleId="Heading3">
    <w:name w:val="Heading 3"/>
    <w:basedOn w:val="Normal"/>
    <w:link w:val="Titolo3Carattere"/>
    <w:qFormat/>
    <w:rsid w:val="002715a2"/>
    <w:pPr>
      <w:keepNext w:val="true"/>
      <w:tabs>
        <w:tab w:val="clear" w:pos="708"/>
        <w:tab w:val="left" w:pos="2978" w:leader="dot"/>
        <w:tab w:val="left" w:pos="6239" w:leader="dot"/>
      </w:tabs>
      <w:jc w:val="center"/>
      <w:outlineLvl w:val="2"/>
    </w:pPr>
    <w:rPr>
      <w:b/>
    </w:rPr>
  </w:style>
  <w:style w:type="paragraph" w:styleId="Heading7">
    <w:name w:val="Heading 7"/>
    <w:basedOn w:val="Normal"/>
    <w:link w:val="Titolo7Carattere"/>
    <w:qFormat/>
    <w:rsid w:val="002715a2"/>
    <w:pPr>
      <w:keepNext w:val="true"/>
      <w:ind w:firstLine="851"/>
      <w:outlineLvl w:val="6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2715a2"/>
    <w:rPr>
      <w:rFonts w:ascii="Times New Roman" w:hAnsi="Times New Roman" w:eastAsia="Times New Roman" w:cs="Times New Roman"/>
      <w:b/>
      <w:sz w:val="40"/>
      <w:szCs w:val="20"/>
    </w:rPr>
  </w:style>
  <w:style w:type="character" w:styleId="Titolo3Carattere" w:customStyle="1">
    <w:name w:val="Titolo 3 Carattere"/>
    <w:basedOn w:val="DefaultParagraphFont"/>
    <w:link w:val="Titolo3"/>
    <w:qFormat/>
    <w:rsid w:val="002715a2"/>
    <w:rPr>
      <w:rFonts w:ascii="Times New Roman" w:hAnsi="Times New Roman" w:eastAsia="Times New Roman" w:cs="Times New Roman"/>
      <w:b/>
      <w:sz w:val="24"/>
      <w:szCs w:val="20"/>
    </w:rPr>
  </w:style>
  <w:style w:type="character" w:styleId="Titolo7Carattere" w:customStyle="1">
    <w:name w:val="Titolo 7 Carattere"/>
    <w:basedOn w:val="DefaultParagraphFont"/>
    <w:link w:val="Titolo7"/>
    <w:qFormat/>
    <w:rsid w:val="002715a2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715a2"/>
    <w:rPr>
      <w:rFonts w:ascii="Tahoma" w:hAnsi="Tahoma" w:eastAsia="Times New Roman" w:cs="Tahoma"/>
      <w:sz w:val="16"/>
      <w:szCs w:val="16"/>
    </w:rPr>
  </w:style>
  <w:style w:type="character" w:styleId="CorpodeltestoCarattere" w:customStyle="1">
    <w:name w:val="Corpo del testo Carattere"/>
    <w:link w:val="a"/>
    <w:qFormat/>
    <w:rsid w:val="002715a2"/>
    <w:rPr>
      <w:sz w:val="24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2715a2"/>
    <w:rPr>
      <w:rFonts w:ascii="Times New Roman" w:hAnsi="Times New Roman" w:eastAsia="Times New Roman" w:cs="Times New Roman"/>
      <w:sz w:val="24"/>
      <w:szCs w:val="20"/>
    </w:rPr>
  </w:style>
  <w:style w:type="character" w:styleId="InternetLink">
    <w:name w:val="Internet Link"/>
    <w:rsid w:val="0000219c"/>
    <w:rPr>
      <w:color w:val="0000FF"/>
      <w:u w:val="single"/>
    </w:rPr>
  </w:style>
  <w:style w:type="character" w:styleId="ListLabel1">
    <w:name w:val="ListLabel 1"/>
    <w:qFormat/>
    <w:rPr>
      <w:rFonts w:ascii="Garamond" w:hAnsi="Garamond" w:cs="Garamond"/>
      <w:color w:val="000000" w:themeColor="text1"/>
      <w:sz w:val="22"/>
      <w:szCs w:val="22"/>
      <w:u w:val="none"/>
      <w:lang w:val="en-US"/>
    </w:rPr>
  </w:style>
  <w:style w:type="character" w:styleId="ListLabel2">
    <w:name w:val="ListLabel 2"/>
    <w:qFormat/>
    <w:rPr>
      <w:rFonts w:ascii="Garamond" w:hAnsi="Garamond"/>
      <w:szCs w:val="24"/>
    </w:rPr>
  </w:style>
  <w:style w:type="character" w:styleId="ListLabel3">
    <w:name w:val="ListLabel 3"/>
    <w:qFormat/>
    <w:rPr>
      <w:rFonts w:ascii="Garamond" w:hAnsi="Garamond" w:cs="Garamond"/>
      <w:bCs/>
      <w:color w:val="000000" w:themeColor="text1"/>
      <w:sz w:val="22"/>
      <w:szCs w:val="22"/>
    </w:rPr>
  </w:style>
  <w:style w:type="character" w:styleId="ListLabel4">
    <w:name w:val="ListLabel 4"/>
    <w:qFormat/>
    <w:rPr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15">
    <w:name w:val="ListLabel 15"/>
    <w:qFormat/>
    <w:rPr>
      <w:rFonts w:ascii="Garamond" w:hAnsi="Garamond"/>
      <w:color w:val="000000"/>
      <w:sz w:val="24"/>
      <w:szCs w:val="24"/>
      <w:u w:val="none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26">
    <w:name w:val="ListLabel 26"/>
    <w:qFormat/>
    <w:rPr>
      <w:rFonts w:ascii="Garamond" w:hAnsi="Garamond"/>
      <w:color w:val="000000"/>
      <w:sz w:val="24"/>
      <w:szCs w:val="24"/>
      <w:u w:val="none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37">
    <w:name w:val="ListLabel 37"/>
    <w:qFormat/>
    <w:rPr>
      <w:rFonts w:ascii="Garamond" w:hAnsi="Garamond"/>
      <w:color w:val="000000"/>
      <w:sz w:val="24"/>
      <w:szCs w:val="24"/>
      <w:u w:val="none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48">
    <w:name w:val="ListLabel 48"/>
    <w:qFormat/>
    <w:rPr>
      <w:rFonts w:ascii="Garamond" w:hAnsi="Garamond"/>
      <w:color w:val="000000"/>
      <w:sz w:val="24"/>
      <w:szCs w:val="24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CorpotestoCarattere"/>
    <w:uiPriority w:val="99"/>
    <w:semiHidden/>
    <w:unhideWhenUsed/>
    <w:rsid w:val="002715a2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2715a2"/>
    <w:pPr>
      <w:spacing w:beforeAutospacing="1" w:afterAutospacing="1"/>
      <w:jc w:val="left"/>
    </w:pPr>
    <w:rPr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715a2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ninsubria.it/ugov/degreecourse/132862" TargetMode="External"/><Relationship Id="rId4" Type="http://schemas.openxmlformats.org/officeDocument/2006/relationships/hyperlink" Target="https://www.uninsubria.it/ugov/degreecourse/132798" TargetMode="External"/><Relationship Id="rId5" Type="http://schemas.openxmlformats.org/officeDocument/2006/relationships/hyperlink" Target="https://www.uninsubria.it/ugov/degreecourse/132825" TargetMode="External"/><Relationship Id="rId6" Type="http://schemas.openxmlformats.org/officeDocument/2006/relationships/hyperlink" Target="https://www.uninsubria.it/ugov/degreecourse/132805" TargetMode="External"/><Relationship Id="rId7" Type="http://schemas.openxmlformats.org/officeDocument/2006/relationships/hyperlink" Target="https://www.uninsubria.it/ugov/degreecourse/132801" TargetMode="External"/><Relationship Id="rId8" Type="http://schemas.openxmlformats.org/officeDocument/2006/relationships/hyperlink" Target="https://www.uninsubria.it/ugov/degreecourse/132801" TargetMode="External"/><Relationship Id="rId9" Type="http://schemas.openxmlformats.org/officeDocument/2006/relationships/hyperlink" Target="https://www.uninsubria.it/ugov/degreecourse/132494" TargetMode="External"/><Relationship Id="rId10" Type="http://schemas.openxmlformats.org/officeDocument/2006/relationships/hyperlink" Target="https://www.uninsubria.it/ugov/degreecourse/132491" TargetMode="External"/><Relationship Id="rId11" Type="http://schemas.openxmlformats.org/officeDocument/2006/relationships/hyperlink" Target="https://www.uninsubria.it/ugov/degreecourse/132862" TargetMode="External"/><Relationship Id="rId12" Type="http://schemas.openxmlformats.org/officeDocument/2006/relationships/hyperlink" Target="https://www.uninsubria.it/ugov/degreecourse/132798" TargetMode="External"/><Relationship Id="rId13" Type="http://schemas.openxmlformats.org/officeDocument/2006/relationships/hyperlink" Target="https://www.uninsubria.it/ugov/degreecourse/132825" TargetMode="External"/><Relationship Id="rId14" Type="http://schemas.openxmlformats.org/officeDocument/2006/relationships/hyperlink" Target="https://www.uninsubria.it/ugov/degreecourse/132805" TargetMode="External"/><Relationship Id="rId15" Type="http://schemas.openxmlformats.org/officeDocument/2006/relationships/hyperlink" Target="https://www.uninsubria.it/ugov/degreecourse/132801" TargetMode="External"/><Relationship Id="rId16" Type="http://schemas.openxmlformats.org/officeDocument/2006/relationships/hyperlink" Target="https://www.uninsubria.it/ugov/degreecourse/132494" TargetMode="External"/><Relationship Id="rId17" Type="http://schemas.openxmlformats.org/officeDocument/2006/relationships/hyperlink" Target="https://www.uninsubria.it/ugov/degreecourse/132491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2A82-0151-4D22-A618-52AE14FC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LibreOffice/6.2.8.2$Linux_X86_64 LibreOffice_project/20$Build-2</Application>
  <Pages>2</Pages>
  <Words>338</Words>
  <Characters>1909</Characters>
  <CharactersWithSpaces>2116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2018-10-18T10:40:00Z</dcterms:created>
  <dc:creator>Cannone Raffaele Domenico</dc:creator>
  <dc:description/>
  <dc:language>en-GB</dc:language>
  <cp:lastModifiedBy/>
  <cp:lastPrinted>2018-10-11T07:08:00Z</cp:lastPrinted>
  <dcterms:modified xsi:type="dcterms:W3CDTF">2022-07-31T10:58:49Z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